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12" w:rsidRDefault="00FF6312" w:rsidP="00FF6312">
      <w:pPr>
        <w:pStyle w:val="Nagwek2"/>
        <w:jc w:val="right"/>
        <w:rPr>
          <w:rFonts w:ascii="Garamond" w:hAnsi="Garamond" w:cs="Times New Roman"/>
          <w:i w:val="0"/>
          <w:sz w:val="22"/>
          <w:szCs w:val="22"/>
        </w:rPr>
      </w:pPr>
      <w:r>
        <w:rPr>
          <w:rFonts w:ascii="Garamond" w:hAnsi="Garamond" w:cs="Times New Roman"/>
          <w:i w:val="0"/>
          <w:sz w:val="22"/>
          <w:szCs w:val="22"/>
        </w:rPr>
        <w:t>Załącznik 7 do SIWZ</w:t>
      </w:r>
    </w:p>
    <w:p w:rsidR="00FF6312" w:rsidRDefault="00FF6312" w:rsidP="00FF6312">
      <w:pPr>
        <w:pStyle w:val="Nagwek2"/>
        <w:jc w:val="center"/>
        <w:rPr>
          <w:rFonts w:ascii="Garamond" w:hAnsi="Garamond" w:cs="Times New Roman"/>
          <w:i w:val="0"/>
          <w:sz w:val="24"/>
          <w:szCs w:val="24"/>
          <w:u w:val="single"/>
        </w:rPr>
      </w:pPr>
      <w:r>
        <w:rPr>
          <w:rFonts w:ascii="Garamond" w:hAnsi="Garamond" w:cs="Times New Roman"/>
          <w:i w:val="0"/>
          <w:sz w:val="24"/>
          <w:szCs w:val="24"/>
          <w:u w:val="single"/>
        </w:rPr>
        <w:t>Specyfikacja techniczna dla części I</w:t>
      </w:r>
    </w:p>
    <w:p w:rsidR="00FF6312" w:rsidRDefault="00FF6312" w:rsidP="00FF6312">
      <w:pPr>
        <w:pStyle w:val="Nagwek2"/>
        <w:jc w:val="right"/>
        <w:rPr>
          <w:rFonts w:ascii="Garamond" w:hAnsi="Garamond" w:cs="Times New Roman"/>
          <w:i w:val="0"/>
          <w:sz w:val="22"/>
          <w:szCs w:val="22"/>
        </w:rPr>
      </w:pPr>
    </w:p>
    <w:tbl>
      <w:tblPr>
        <w:tblW w:w="15255" w:type="dxa"/>
        <w:jc w:val="center"/>
        <w:tblInd w:w="-162" w:type="dxa"/>
        <w:tblLayout w:type="fixed"/>
        <w:tblLook w:val="04A0" w:firstRow="1" w:lastRow="0" w:firstColumn="1" w:lastColumn="0" w:noHBand="0" w:noVBand="1"/>
      </w:tblPr>
      <w:tblGrid>
        <w:gridCol w:w="835"/>
        <w:gridCol w:w="2303"/>
        <w:gridCol w:w="8483"/>
        <w:gridCol w:w="3634"/>
      </w:tblGrid>
      <w:tr w:rsidR="00FF6312" w:rsidTr="00FF6312">
        <w:trPr>
          <w:trHeight w:val="416"/>
          <w:tblHeader/>
          <w:jc w:val="center"/>
        </w:trPr>
        <w:tc>
          <w:tcPr>
            <w:tcW w:w="15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312" w:rsidRDefault="00FF6312">
            <w:pPr>
              <w:spacing w:after="0"/>
              <w:rPr>
                <w:rFonts w:ascii="Garamond" w:eastAsia="Calibri" w:hAnsi="Garamond"/>
                <w:b/>
                <w:color w:val="000000"/>
              </w:rPr>
            </w:pPr>
            <w:r>
              <w:rPr>
                <w:rFonts w:ascii="Garamond" w:eastAsia="Calibri" w:hAnsi="Garamond"/>
                <w:b/>
                <w:color w:val="000000"/>
              </w:rPr>
              <w:t>Specyfikacja techniczna nr 1</w:t>
            </w:r>
          </w:p>
        </w:tc>
      </w:tr>
      <w:tr w:rsidR="00FF6312" w:rsidTr="00FF6312">
        <w:trPr>
          <w:tblHeader/>
          <w:jc w:val="center"/>
        </w:trPr>
        <w:tc>
          <w:tcPr>
            <w:tcW w:w="15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312" w:rsidRDefault="00FF6312">
            <w:pPr>
              <w:spacing w:after="0"/>
              <w:jc w:val="center"/>
              <w:rPr>
                <w:rFonts w:ascii="Garamond" w:eastAsia="Calibri" w:hAnsi="Garamond"/>
                <w:b/>
                <w:color w:val="000000"/>
              </w:rPr>
            </w:pPr>
            <w:r>
              <w:rPr>
                <w:rFonts w:ascii="Garamond" w:eastAsia="Calibri" w:hAnsi="Garamond"/>
                <w:b/>
                <w:color w:val="000000"/>
              </w:rPr>
              <w:t xml:space="preserve">Serwer typ 1 </w:t>
            </w:r>
          </w:p>
        </w:tc>
      </w:tr>
      <w:tr w:rsidR="00FF6312" w:rsidTr="00FF6312">
        <w:trPr>
          <w:tblHeader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FF6312" w:rsidRDefault="00FF6312">
            <w:pPr>
              <w:spacing w:after="0"/>
              <w:jc w:val="center"/>
              <w:rPr>
                <w:rFonts w:ascii="Garamond" w:eastAsia="Calibri" w:hAnsi="Garamond"/>
                <w:b/>
                <w:color w:val="000000"/>
              </w:rPr>
            </w:pPr>
            <w:r>
              <w:rPr>
                <w:rFonts w:ascii="Garamond" w:eastAsia="Calibri" w:hAnsi="Garamond"/>
                <w:b/>
                <w:color w:val="000000"/>
              </w:rPr>
              <w:t>Lp.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FF6312" w:rsidRDefault="00FF6312">
            <w:pPr>
              <w:spacing w:after="0"/>
              <w:jc w:val="center"/>
              <w:rPr>
                <w:rFonts w:ascii="Garamond" w:eastAsia="Calibri" w:hAnsi="Garamond"/>
                <w:b/>
                <w:color w:val="000000"/>
              </w:rPr>
            </w:pPr>
            <w:r>
              <w:rPr>
                <w:rFonts w:ascii="Garamond" w:eastAsia="Calibri" w:hAnsi="Garamond"/>
                <w:b/>
                <w:color w:val="000000"/>
              </w:rPr>
              <w:t>Element/cecha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FF6312" w:rsidRDefault="00FF6312">
            <w:pPr>
              <w:spacing w:after="0"/>
              <w:jc w:val="center"/>
              <w:rPr>
                <w:rFonts w:ascii="Garamond" w:eastAsia="Calibri" w:hAnsi="Garamond"/>
                <w:b/>
                <w:color w:val="000000"/>
              </w:rPr>
            </w:pPr>
            <w:r>
              <w:rPr>
                <w:rFonts w:ascii="Garamond" w:eastAsia="Calibri" w:hAnsi="Garamond"/>
                <w:b/>
                <w:color w:val="000000"/>
              </w:rPr>
              <w:t>Charakterystyka (wymagania minimalne)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FF6312" w:rsidRDefault="00FF6312">
            <w:pPr>
              <w:spacing w:after="0"/>
              <w:jc w:val="center"/>
              <w:rPr>
                <w:rFonts w:ascii="Garamond" w:eastAsia="Calibri" w:hAnsi="Garamond"/>
                <w:b/>
                <w:color w:val="000000"/>
              </w:rPr>
            </w:pPr>
            <w:r>
              <w:rPr>
                <w:rFonts w:ascii="Garamond" w:eastAsia="Calibri" w:hAnsi="Garamond"/>
                <w:b/>
                <w:color w:val="000000"/>
              </w:rPr>
              <w:t>Parametry oferowane</w:t>
            </w:r>
          </w:p>
          <w:p w:rsidR="00FF6312" w:rsidRDefault="00FF6312">
            <w:pPr>
              <w:spacing w:after="0"/>
              <w:ind w:left="-109"/>
              <w:jc w:val="center"/>
              <w:rPr>
                <w:rFonts w:ascii="Garamond" w:eastAsia="Calibri" w:hAnsi="Garamond"/>
                <w:b/>
                <w:color w:val="000000"/>
              </w:rPr>
            </w:pPr>
            <w:r>
              <w:rPr>
                <w:rFonts w:ascii="Garamond" w:eastAsia="Calibri" w:hAnsi="Garamond"/>
                <w:b/>
                <w:color w:val="000000"/>
              </w:rPr>
              <w:t>(należy dokładnie określić oferowane parametry)</w:t>
            </w:r>
          </w:p>
        </w:tc>
      </w:tr>
      <w:tr w:rsidR="00FF6312" w:rsidTr="00FF631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1.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Procesory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/>
                <w:u w:val="single"/>
              </w:rPr>
            </w:pPr>
            <w:r>
              <w:rPr>
                <w:rFonts w:ascii="Garamond" w:eastAsia="Calibri" w:hAnsi="Garamond" w:cs="Arial"/>
              </w:rPr>
              <w:t xml:space="preserve">Procesor klasy x86-64 zapewniający uzyskanie wyniku min 1600 pkt w teście SPECint_rate2006 </w:t>
            </w:r>
            <w:proofErr w:type="spellStart"/>
            <w:r>
              <w:rPr>
                <w:rFonts w:ascii="Garamond" w:eastAsia="Calibri" w:hAnsi="Garamond" w:cs="Arial"/>
              </w:rPr>
              <w:t>Baseline</w:t>
            </w:r>
            <w:proofErr w:type="spellEnd"/>
            <w:r>
              <w:rPr>
                <w:rFonts w:ascii="Garamond" w:eastAsia="Calibri" w:hAnsi="Garamond" w:cs="Arial"/>
              </w:rPr>
              <w:t xml:space="preserve"> dla oferowanego serwera w konfiguracji czteroprocesorowej. Zamawiający wymaga, aby wynik testu był dostępny publicznie na stronie </w:t>
            </w:r>
            <w:hyperlink r:id="rId5" w:history="1">
              <w:r>
                <w:rPr>
                  <w:rStyle w:val="Hipercze"/>
                  <w:rFonts w:ascii="Garamond" w:eastAsia="Calibri" w:hAnsi="Garamond"/>
                  <w:color w:val="auto"/>
                </w:rPr>
                <w:t>www.spec.org</w:t>
              </w:r>
            </w:hyperlink>
            <w:r w:rsidR="00172F96">
              <w:rPr>
                <w:rFonts w:eastAsia="Calibri"/>
              </w:rPr>
              <w:t xml:space="preserve"> </w:t>
            </w:r>
            <w:r w:rsidR="00172F96" w:rsidRPr="004122C0">
              <w:rPr>
                <w:rFonts w:ascii="Garamond" w:hAnsi="Garamond"/>
                <w:color w:val="FF0000"/>
                <w:sz w:val="20"/>
                <w:szCs w:val="20"/>
                <w:u w:val="single"/>
              </w:rPr>
              <w:t>lub dołączony do oferty</w:t>
            </w:r>
            <w:r w:rsidR="00172F96">
              <w:rPr>
                <w:rFonts w:ascii="Garamond" w:hAnsi="Garamond"/>
                <w:color w:val="FF0000"/>
                <w:sz w:val="20"/>
                <w:szCs w:val="20"/>
                <w:u w:val="single"/>
              </w:rPr>
              <w:t>.</w:t>
            </w:r>
          </w:p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/>
                <w:u w:val="single"/>
              </w:rPr>
              <w:t>Procesor musi komunikować się z pamięcią na poziomie min 85GB/s.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2.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Liczba procesorów w każdym serwerze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4 (max 18core/CPU)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3.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 xml:space="preserve">Pamięć RAM 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Min. 1024 GB RAM z korekcją błędów Advanced  ECC i dwukanałowym dostępem (osiągająca przepustowość min. 85GB/s)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4.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 xml:space="preserve">Sterownik dysków wewnętrznych 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Pr="005D2690" w:rsidRDefault="00FF6312" w:rsidP="005D2690">
            <w:pPr>
              <w:spacing w:after="0"/>
              <w:jc w:val="both"/>
              <w:rPr>
                <w:rFonts w:ascii="Garamond" w:eastAsia="Calibri" w:hAnsi="Garamond" w:cs="Arial"/>
              </w:rPr>
            </w:pPr>
            <w:r w:rsidRPr="005D2690">
              <w:rPr>
                <w:rFonts w:ascii="Garamond" w:eastAsia="Calibri" w:hAnsi="Garamond" w:cs="Arial"/>
              </w:rPr>
              <w:t>Macierzowy, RAID 0,1,5, z pamięcią cache, min 256MB  z podtrzymaniem bateryjnym</w:t>
            </w:r>
            <w:r w:rsidR="005D2690" w:rsidRPr="005D2690">
              <w:rPr>
                <w:rFonts w:ascii="Garamond" w:eastAsia="Calibri" w:hAnsi="Garamond" w:cs="Arial"/>
              </w:rPr>
              <w:t xml:space="preserve"> </w:t>
            </w:r>
            <w:r w:rsidR="005D2690" w:rsidRPr="005D2690">
              <w:rPr>
                <w:rFonts w:ascii="Garamond" w:hAnsi="Garamond"/>
                <w:color w:val="FF0000"/>
              </w:rPr>
              <w:t xml:space="preserve">lub stosowanie sterowników w których podtrzymanie pamięci cache jest realizowane za pomocą zapisu do dedykowanej nieulotnej pamięci </w:t>
            </w:r>
            <w:proofErr w:type="spellStart"/>
            <w:r w:rsidR="005D2690" w:rsidRPr="005D2690">
              <w:rPr>
                <w:rFonts w:ascii="Garamond" w:hAnsi="Garamond"/>
                <w:color w:val="FF0000"/>
              </w:rPr>
              <w:t>flash</w:t>
            </w:r>
            <w:proofErr w:type="spellEnd"/>
            <w:r w:rsidR="005D2690" w:rsidRPr="005D2690">
              <w:rPr>
                <w:rFonts w:ascii="Garamond" w:hAnsi="Garamond"/>
                <w:color w:val="FF0000"/>
              </w:rPr>
              <w:t xml:space="preserve"> w momencie braku zasilania </w:t>
            </w:r>
            <w:r w:rsidR="005D2690" w:rsidRPr="005D2690">
              <w:rPr>
                <w:rFonts w:ascii="Garamond" w:hAnsi="Garamond"/>
                <w:color w:val="FF0000"/>
              </w:rPr>
              <w:br/>
              <w:t>i realizujących wymienione funkcje RAID.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5.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Dyski twarde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  <w:color w:val="FF0000"/>
              </w:rPr>
            </w:pPr>
            <w:r>
              <w:rPr>
                <w:rFonts w:ascii="Garamond" w:eastAsia="Calibri" w:hAnsi="Garamond" w:cs="Arial"/>
              </w:rPr>
              <w:t>2 dyski SAS lub SCSI min. 300 GB typu Hot-plug, min.10000 RPM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6.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Napęd CD-ROM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1 napęd DVD/DVD-RW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7.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Interfejsy FC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Nie wymagane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8.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 xml:space="preserve">Interfejsy </w:t>
            </w:r>
            <w:proofErr w:type="spellStart"/>
            <w:r>
              <w:rPr>
                <w:rFonts w:ascii="Garamond" w:eastAsia="Calibri" w:hAnsi="Garamond" w:cs="Arial"/>
              </w:rPr>
              <w:t>InfiniBand</w:t>
            </w:r>
            <w:proofErr w:type="spellEnd"/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Min. 4 interfejsy fizyczne w 4 niezależnych kartach o prędkości min. 56Gb/s. Zgodne z oferowanym przełącznikiem.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9.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Interfejsy sieciowe (LAN)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2 interfejsy fizyczne 1Gb, Ethernet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10.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 xml:space="preserve">Interfejs zdalnego </w:t>
            </w:r>
            <w:r>
              <w:rPr>
                <w:rFonts w:ascii="Garamond" w:eastAsia="Calibri" w:hAnsi="Garamond" w:cs="Arial"/>
              </w:rPr>
              <w:lastRenderedPageBreak/>
              <w:t>zarządzania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lastRenderedPageBreak/>
              <w:t xml:space="preserve">Karta zdalnego zarządzania z możliwością przejęcia graficznej konsoli (licencje do zapewnienia </w:t>
            </w:r>
            <w:r>
              <w:rPr>
                <w:rFonts w:ascii="Garamond" w:eastAsia="Calibri" w:hAnsi="Garamond" w:cs="Arial"/>
              </w:rPr>
              <w:lastRenderedPageBreak/>
              <w:t>tej funkcjonalności powinny być dołączone do serwera). Możliwość włączenie, wyłączenia, resetu serwera. Możliwość mapowania CD/DVD/USB/ISO do zdalnego serwera.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RPr="000A71D4" w:rsidTr="00FF631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lastRenderedPageBreak/>
              <w:t>11.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 xml:space="preserve">Wspierane systemy operacyjne 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  <w:lang w:val="en-US"/>
              </w:rPr>
            </w:pPr>
            <w:r>
              <w:rPr>
                <w:rFonts w:ascii="Garamond" w:eastAsia="Calibri" w:hAnsi="Garamond" w:cs="Arial"/>
                <w:lang w:val="en-US"/>
              </w:rPr>
              <w:t>MS Windows 2008, Red Hat Enterprise Linux, SUSE Linux Enterprise Server, VMware.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  <w:lang w:val="en-US"/>
              </w:rPr>
            </w:pPr>
          </w:p>
        </w:tc>
      </w:tr>
      <w:tr w:rsidR="00FF6312" w:rsidTr="00FF631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12.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 xml:space="preserve">Zasilanie 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2 redundantne zasilacze z kablami zasilającymi umożliwiającymi podłączenie do szafy 19”.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13.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Mocowanie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Montowany w standardowej szafie 19”, szyny montażowe dołączone do serwera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14.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Wysokość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Max 6U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15.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interfejsy wewnętrzne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Min.1 interfejs USB 2.0 lub min. 1 gniazdo na kartę SD/Flash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16.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Inne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Serwer SMP zbudowany w formie monobloku. Nie dopuszcza się łączenia kilku mniejszych serwerów zewnętrznymi czy wewnętrznymi połączeniami elektrycznymi pomiędzy ich obudowami/płytami głównymi, nie dopuszcza się wykorzystania software/</w:t>
            </w:r>
            <w:proofErr w:type="spellStart"/>
            <w:r>
              <w:rPr>
                <w:rFonts w:ascii="Garamond" w:eastAsia="Calibri" w:hAnsi="Garamond" w:cs="Arial"/>
              </w:rPr>
              <w:t>middleware</w:t>
            </w:r>
            <w:proofErr w:type="spellEnd"/>
            <w:r>
              <w:rPr>
                <w:rFonts w:ascii="Garamond" w:eastAsia="Calibri" w:hAnsi="Garamond" w:cs="Arial"/>
              </w:rPr>
              <w:t xml:space="preserve"> grupującego mniejsze serwery w pojedynczą maszynę SMP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rPr>
                <w:rFonts w:ascii="Garamond" w:eastAsia="Calibri" w:hAnsi="Garamond" w:cs="Arial"/>
              </w:rPr>
            </w:pPr>
          </w:p>
        </w:tc>
      </w:tr>
    </w:tbl>
    <w:p w:rsidR="00FF6312" w:rsidRDefault="00FF6312" w:rsidP="00FF6312">
      <w:pPr>
        <w:rPr>
          <w:rFonts w:ascii="Garamond" w:eastAsia="Calibri" w:hAnsi="Garamond"/>
        </w:rPr>
      </w:pPr>
    </w:p>
    <w:tbl>
      <w:tblPr>
        <w:tblW w:w="15435" w:type="dxa"/>
        <w:jc w:val="center"/>
        <w:tblLayout w:type="fixed"/>
        <w:tblLook w:val="04A0" w:firstRow="1" w:lastRow="0" w:firstColumn="1" w:lastColumn="0" w:noHBand="0" w:noVBand="1"/>
      </w:tblPr>
      <w:tblGrid>
        <w:gridCol w:w="656"/>
        <w:gridCol w:w="2268"/>
        <w:gridCol w:w="8849"/>
        <w:gridCol w:w="3662"/>
      </w:tblGrid>
      <w:tr w:rsidR="00FF6312" w:rsidTr="00FF6312">
        <w:trPr>
          <w:trHeight w:val="416"/>
          <w:tblHeader/>
          <w:jc w:val="center"/>
        </w:trPr>
        <w:tc>
          <w:tcPr>
            <w:tcW w:w="15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312" w:rsidRDefault="00FF6312">
            <w:pPr>
              <w:spacing w:after="0"/>
              <w:rPr>
                <w:rFonts w:ascii="Garamond" w:eastAsia="Calibri" w:hAnsi="Garamond"/>
                <w:b/>
                <w:color w:val="000000"/>
              </w:rPr>
            </w:pPr>
            <w:r>
              <w:rPr>
                <w:rFonts w:ascii="Garamond" w:eastAsia="Calibri" w:hAnsi="Garamond"/>
                <w:b/>
                <w:color w:val="000000"/>
              </w:rPr>
              <w:t>Specyfikacja techniczna nr 2</w:t>
            </w:r>
          </w:p>
        </w:tc>
      </w:tr>
      <w:tr w:rsidR="00FF6312" w:rsidTr="00FF6312">
        <w:trPr>
          <w:tblHeader/>
          <w:jc w:val="center"/>
        </w:trPr>
        <w:tc>
          <w:tcPr>
            <w:tcW w:w="15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312" w:rsidRDefault="00FF6312">
            <w:pPr>
              <w:spacing w:after="0"/>
              <w:jc w:val="center"/>
              <w:rPr>
                <w:rFonts w:ascii="Garamond" w:eastAsia="Calibri" w:hAnsi="Garamond"/>
                <w:b/>
                <w:color w:val="000000"/>
              </w:rPr>
            </w:pPr>
            <w:r>
              <w:rPr>
                <w:rFonts w:ascii="Garamond" w:eastAsia="Calibri" w:hAnsi="Garamond"/>
                <w:b/>
                <w:color w:val="000000"/>
              </w:rPr>
              <w:t>Serwer typ 2</w:t>
            </w:r>
          </w:p>
        </w:tc>
      </w:tr>
      <w:tr w:rsidR="00FF6312" w:rsidTr="00FF6312">
        <w:trPr>
          <w:tblHeader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FF6312" w:rsidRDefault="00FF6312">
            <w:pPr>
              <w:spacing w:after="0"/>
              <w:jc w:val="center"/>
              <w:rPr>
                <w:rFonts w:ascii="Garamond" w:eastAsia="Calibri" w:hAnsi="Garamond"/>
                <w:b/>
                <w:color w:val="000000"/>
              </w:rPr>
            </w:pPr>
            <w:r>
              <w:rPr>
                <w:rFonts w:ascii="Garamond" w:eastAsia="Calibri" w:hAnsi="Garamond"/>
                <w:b/>
                <w:color w:val="000000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FF6312" w:rsidRDefault="00FF6312">
            <w:pPr>
              <w:spacing w:after="0"/>
              <w:jc w:val="center"/>
              <w:rPr>
                <w:rFonts w:ascii="Garamond" w:eastAsia="Calibri" w:hAnsi="Garamond"/>
                <w:b/>
                <w:color w:val="000000"/>
              </w:rPr>
            </w:pPr>
            <w:r>
              <w:rPr>
                <w:rFonts w:ascii="Garamond" w:eastAsia="Calibri" w:hAnsi="Garamond"/>
                <w:b/>
                <w:color w:val="000000"/>
              </w:rPr>
              <w:t>Element/cecha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FF6312" w:rsidRDefault="00FF6312">
            <w:pPr>
              <w:spacing w:after="0"/>
              <w:jc w:val="center"/>
              <w:rPr>
                <w:rFonts w:ascii="Garamond" w:eastAsia="Calibri" w:hAnsi="Garamond"/>
                <w:b/>
                <w:color w:val="000000"/>
              </w:rPr>
            </w:pPr>
            <w:r>
              <w:rPr>
                <w:rFonts w:ascii="Garamond" w:eastAsia="Calibri" w:hAnsi="Garamond"/>
                <w:b/>
                <w:color w:val="000000"/>
              </w:rPr>
              <w:t>Charakterystyka (wymagania minimalne)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FF6312" w:rsidRDefault="00FF6312">
            <w:pPr>
              <w:spacing w:after="0"/>
              <w:jc w:val="center"/>
              <w:rPr>
                <w:rFonts w:ascii="Garamond" w:eastAsia="Calibri" w:hAnsi="Garamond"/>
                <w:b/>
                <w:color w:val="000000"/>
              </w:rPr>
            </w:pPr>
            <w:r>
              <w:rPr>
                <w:rFonts w:ascii="Garamond" w:eastAsia="Calibri" w:hAnsi="Garamond"/>
                <w:b/>
                <w:color w:val="000000"/>
              </w:rPr>
              <w:t>Parametry oferowane</w:t>
            </w:r>
          </w:p>
          <w:p w:rsidR="00FF6312" w:rsidRDefault="00FF6312">
            <w:pPr>
              <w:spacing w:after="0"/>
              <w:jc w:val="center"/>
              <w:rPr>
                <w:rFonts w:ascii="Garamond" w:eastAsia="Calibri" w:hAnsi="Garamond"/>
                <w:b/>
                <w:color w:val="000000"/>
              </w:rPr>
            </w:pPr>
            <w:r>
              <w:rPr>
                <w:rFonts w:ascii="Garamond" w:eastAsia="Calibri" w:hAnsi="Garamond"/>
                <w:b/>
                <w:color w:val="000000"/>
              </w:rPr>
              <w:t>(należy dokładnie określić oferowane parametry)</w:t>
            </w:r>
          </w:p>
        </w:tc>
      </w:tr>
      <w:tr w:rsidR="00FF6312" w:rsidTr="00FF631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Procesory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/>
                <w:u w:val="single"/>
              </w:rPr>
            </w:pPr>
            <w:r>
              <w:rPr>
                <w:rFonts w:ascii="Garamond" w:eastAsia="Calibri" w:hAnsi="Garamond" w:cs="Arial"/>
              </w:rPr>
              <w:t xml:space="preserve">Procesor klasy x86-64 zapewniający uzyskanie wyniku min 646 pkt w teście SPECint_rate2006 Base dla oferowanego serwera w konfiguracji dwuprocesorowej. Zamawiający wymaga, aby wynik testu był dostępny publicznie na stronie </w:t>
            </w:r>
            <w:hyperlink r:id="rId6" w:history="1">
              <w:r>
                <w:rPr>
                  <w:rStyle w:val="Hipercze"/>
                  <w:rFonts w:ascii="Garamond" w:eastAsia="Calibri" w:hAnsi="Garamond"/>
                  <w:color w:val="auto"/>
                </w:rPr>
                <w:t>www.spec.org</w:t>
              </w:r>
            </w:hyperlink>
            <w:r w:rsidR="00172F96">
              <w:rPr>
                <w:rFonts w:eastAsia="Calibri"/>
              </w:rPr>
              <w:t xml:space="preserve"> </w:t>
            </w:r>
            <w:r w:rsidR="00172F96" w:rsidRPr="004122C0">
              <w:rPr>
                <w:rFonts w:ascii="Garamond" w:hAnsi="Garamond"/>
                <w:color w:val="FF0000"/>
                <w:sz w:val="20"/>
                <w:szCs w:val="20"/>
                <w:u w:val="single"/>
              </w:rPr>
              <w:t>lub dołączony do oferty</w:t>
            </w:r>
            <w:r w:rsidR="00172F96">
              <w:rPr>
                <w:rFonts w:ascii="Garamond" w:hAnsi="Garamond"/>
                <w:color w:val="FF0000"/>
                <w:sz w:val="20"/>
                <w:szCs w:val="20"/>
                <w:u w:val="single"/>
              </w:rPr>
              <w:t>.</w:t>
            </w:r>
          </w:p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/>
                <w:u w:val="single"/>
              </w:rPr>
              <w:t>Procesor musi komunikować się z pamięcią na poziomie min 59GB/s.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Liczba procesorów w każdym serwerze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 xml:space="preserve">2 (max 14 </w:t>
            </w:r>
            <w:proofErr w:type="spellStart"/>
            <w:r>
              <w:rPr>
                <w:rFonts w:ascii="Garamond" w:eastAsia="Calibri" w:hAnsi="Garamond" w:cs="Arial"/>
              </w:rPr>
              <w:t>core</w:t>
            </w:r>
            <w:proofErr w:type="spellEnd"/>
            <w:r>
              <w:rPr>
                <w:rFonts w:ascii="Garamond" w:eastAsia="Calibri" w:hAnsi="Garamond" w:cs="Arial"/>
              </w:rPr>
              <w:t>/CPU)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 xml:space="preserve">Pamięć RAM 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Min. 64 GB RAM z korekcją błędów Advanced  ECC (osiągająca przepustowość min. 59GB/s)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 xml:space="preserve">Sterownik dysków wewnętrznych 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Nie wymagany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Dyski twarde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  <w:color w:val="FF0000"/>
              </w:rPr>
            </w:pPr>
            <w:r>
              <w:rPr>
                <w:rFonts w:ascii="Garamond" w:eastAsia="Calibri" w:hAnsi="Garamond" w:cs="Arial"/>
              </w:rPr>
              <w:t>Nie wymagany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Napęd CD-ROM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Nie wymagany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Interfejsy FC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Nie wymagane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 xml:space="preserve">Interfejsy </w:t>
            </w:r>
            <w:proofErr w:type="spellStart"/>
            <w:r>
              <w:rPr>
                <w:rFonts w:ascii="Garamond" w:eastAsia="Calibri" w:hAnsi="Garamond" w:cs="Arial"/>
              </w:rPr>
              <w:t>InfiniBand</w:t>
            </w:r>
            <w:proofErr w:type="spellEnd"/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Min. 1 interfejs fizyczny o prędkości min. 56Gb/s. Zgodne z oferowanym przełącznikiem.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Interfejsy sieciowe (LAN)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2 interfejsy fizyczne 1Gb, Ethernet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Interfejs zdalnego zarządzania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Karta zdalnego zarządzania z możliwością przejęcia graficznej konsoli (licencje do zapewnienia tej funkcjonalności powinny być dołączone do serwera). Możliwość włączenie, wyłączenia, resetu serwera. Możliwość mapowania CD/DVD/USB/ISO do zdalnego serwera.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RPr="000A71D4" w:rsidTr="00FF631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 xml:space="preserve">Wspierane systemy operacyjne 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  <w:lang w:val="en-US"/>
              </w:rPr>
            </w:pPr>
            <w:r>
              <w:rPr>
                <w:rFonts w:ascii="Garamond" w:eastAsia="Calibri" w:hAnsi="Garamond" w:cs="Arial"/>
                <w:lang w:val="en-US"/>
              </w:rPr>
              <w:t>MS Windows 2008, Red Hat Enterprise Linux, SUSE Linux Enterprise Server, VMware.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  <w:lang w:val="en-US"/>
              </w:rPr>
            </w:pPr>
          </w:p>
        </w:tc>
      </w:tr>
      <w:tr w:rsidR="00FF6312" w:rsidTr="00FF631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 xml:space="preserve">Zasilanie 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2 redundantne zasilacze z kablami zasilającymi umożliwiającymi podłączenie do szafy 19”.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Mocowanie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 w:rsidP="000A71D4">
            <w:pPr>
              <w:jc w:val="both"/>
              <w:rPr>
                <w:rFonts w:ascii="Garamond" w:eastAsia="Calibri" w:hAnsi="Garamond" w:cs="Arial"/>
              </w:rPr>
            </w:pPr>
            <w:bookmarkStart w:id="0" w:name="_GoBack"/>
            <w:r>
              <w:rPr>
                <w:rFonts w:ascii="Garamond" w:eastAsia="Calibri" w:hAnsi="Garamond" w:cs="Arial"/>
              </w:rPr>
              <w:t>Montowany w standardowej szafie 19”, szyny montażowe dołączone do serwera. W przypadku stosowania dodatkowych obudów w celu zwiększenia upakowania mocy należy dostarczyć wymagane obudowy w ilości umożliwiającej montaż wszystkich dostarczonych serwerów. Obudowy muszą być montowane w szafie</w:t>
            </w:r>
            <w:r w:rsidR="000A71D4">
              <w:rPr>
                <w:rFonts w:ascii="Garamond" w:eastAsia="Calibri" w:hAnsi="Garamond" w:cs="Arial"/>
              </w:rPr>
              <w:t xml:space="preserve"> 19” i posiadać szyny montażowe, </w:t>
            </w:r>
            <w:r w:rsidR="000A71D4">
              <w:rPr>
                <w:rFonts w:ascii="Garamond" w:hAnsi="Garamond"/>
                <w:color w:val="FF0000"/>
              </w:rPr>
              <w:t xml:space="preserve">zapewniać komunikację serwerów z zewnętrzną infrastrukturą LAN i IB – jeśli wymagane są dodatkowe moduły komunikacyjne w celu wyprowadzenia sygnałów poza obudowę muszę być dostarczone, zapewniać zasilanie serwerów – </w:t>
            </w:r>
            <w:r w:rsidR="000A71D4">
              <w:rPr>
                <w:rFonts w:ascii="Garamond" w:hAnsi="Garamond"/>
                <w:color w:val="FF0000"/>
              </w:rPr>
              <w:lastRenderedPageBreak/>
              <w:t>należy dostarczyć zasilacze jeśli są montowane w obudowie, zapewniać zdalne zarządzanie serwerami z możliwością przejęcia konsoli KVM oraz zdalnym montowaniem obrazów ISO – należy dostarczyć odpowiednie moduły zarządzające jeśli serwery nie posiadają własnych modułów oraz zapewnić ich komunikację z zewnętrzną infrastrukturą</w:t>
            </w:r>
            <w:r w:rsidR="000A71D4">
              <w:rPr>
                <w:rFonts w:ascii="Garamond" w:hAnsi="Garamond"/>
              </w:rPr>
              <w:t>.</w:t>
            </w:r>
            <w:bookmarkEnd w:id="0"/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lastRenderedPageBreak/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Wysokość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Max 1U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interfejsy wewnętrzne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 xml:space="preserve">Min.1 interfejs USB 2.0 lub min. 1 gniazdo na kartę SD/Flash do </w:t>
            </w:r>
            <w:proofErr w:type="spellStart"/>
            <w:r>
              <w:rPr>
                <w:rFonts w:ascii="Garamond" w:eastAsia="Calibri" w:hAnsi="Garamond" w:cs="Arial"/>
              </w:rPr>
              <w:t>bootowania</w:t>
            </w:r>
            <w:proofErr w:type="spellEnd"/>
            <w:r>
              <w:rPr>
                <w:rFonts w:ascii="Garamond" w:eastAsia="Calibri" w:hAnsi="Garamond" w:cs="Arial"/>
              </w:rPr>
              <w:t xml:space="preserve"> systemu.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rPr>
                <w:rFonts w:ascii="Garamond" w:eastAsia="Calibri" w:hAnsi="Garamond" w:cs="Arial"/>
              </w:rPr>
            </w:pPr>
          </w:p>
        </w:tc>
      </w:tr>
    </w:tbl>
    <w:p w:rsidR="00FF6312" w:rsidRDefault="00FF6312" w:rsidP="00FF6312">
      <w:pPr>
        <w:rPr>
          <w:rFonts w:ascii="Garamond" w:eastAsia="Calibri" w:hAnsi="Garamond"/>
        </w:rPr>
      </w:pPr>
    </w:p>
    <w:tbl>
      <w:tblPr>
        <w:tblW w:w="15240" w:type="dxa"/>
        <w:jc w:val="center"/>
        <w:tblInd w:w="-560" w:type="dxa"/>
        <w:tblLayout w:type="fixed"/>
        <w:tblLook w:val="04A0" w:firstRow="1" w:lastRow="0" w:firstColumn="1" w:lastColumn="0" w:noHBand="0" w:noVBand="1"/>
      </w:tblPr>
      <w:tblGrid>
        <w:gridCol w:w="709"/>
        <w:gridCol w:w="2176"/>
        <w:gridCol w:w="8792"/>
        <w:gridCol w:w="3563"/>
      </w:tblGrid>
      <w:tr w:rsidR="00FF6312" w:rsidTr="00FF6312">
        <w:trPr>
          <w:trHeight w:val="416"/>
          <w:jc w:val="center"/>
        </w:trPr>
        <w:tc>
          <w:tcPr>
            <w:tcW w:w="15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312" w:rsidRDefault="00FF6312">
            <w:pPr>
              <w:spacing w:after="0"/>
              <w:rPr>
                <w:rFonts w:ascii="Garamond" w:eastAsia="Calibri" w:hAnsi="Garamond"/>
                <w:b/>
                <w:color w:val="000000"/>
              </w:rPr>
            </w:pPr>
            <w:r>
              <w:rPr>
                <w:rFonts w:ascii="Garamond" w:eastAsia="Calibri" w:hAnsi="Garamond"/>
                <w:b/>
                <w:color w:val="000000"/>
              </w:rPr>
              <w:t>Specyfikacja techniczna 3</w:t>
            </w:r>
          </w:p>
        </w:tc>
      </w:tr>
      <w:tr w:rsidR="00FF6312" w:rsidTr="00FF6312">
        <w:trPr>
          <w:jc w:val="center"/>
        </w:trPr>
        <w:tc>
          <w:tcPr>
            <w:tcW w:w="15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312" w:rsidRDefault="00FF6312">
            <w:pPr>
              <w:spacing w:after="0"/>
              <w:jc w:val="center"/>
              <w:rPr>
                <w:rFonts w:ascii="Garamond" w:eastAsia="Calibri" w:hAnsi="Garamond"/>
                <w:b/>
                <w:color w:val="000000"/>
              </w:rPr>
            </w:pPr>
            <w:r>
              <w:rPr>
                <w:rFonts w:ascii="Garamond" w:eastAsia="Calibri" w:hAnsi="Garamond"/>
                <w:b/>
                <w:color w:val="000000"/>
              </w:rPr>
              <w:t xml:space="preserve">Przełącznik </w:t>
            </w:r>
            <w:proofErr w:type="spellStart"/>
            <w:r>
              <w:rPr>
                <w:rFonts w:ascii="Garamond" w:eastAsia="Calibri" w:hAnsi="Garamond"/>
                <w:b/>
                <w:color w:val="000000"/>
              </w:rPr>
              <w:t>InfiniBand</w:t>
            </w:r>
            <w:proofErr w:type="spellEnd"/>
          </w:p>
        </w:tc>
      </w:tr>
      <w:tr w:rsidR="00FF6312" w:rsidTr="00FF6312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FF6312" w:rsidRDefault="00FF6312">
            <w:pPr>
              <w:spacing w:after="0"/>
              <w:jc w:val="center"/>
              <w:rPr>
                <w:rFonts w:ascii="Garamond" w:eastAsia="Calibri" w:hAnsi="Garamond"/>
                <w:b/>
                <w:color w:val="000000"/>
              </w:rPr>
            </w:pPr>
            <w:r>
              <w:rPr>
                <w:rFonts w:ascii="Garamond" w:eastAsia="Calibri" w:hAnsi="Garamond"/>
                <w:b/>
                <w:color w:val="000000"/>
              </w:rPr>
              <w:t>Lp.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FF6312" w:rsidRDefault="00FF6312">
            <w:pPr>
              <w:spacing w:after="0"/>
              <w:jc w:val="center"/>
              <w:rPr>
                <w:rFonts w:ascii="Garamond" w:eastAsia="Calibri" w:hAnsi="Garamond"/>
                <w:b/>
                <w:color w:val="000000"/>
              </w:rPr>
            </w:pPr>
            <w:r>
              <w:rPr>
                <w:rFonts w:ascii="Garamond" w:eastAsia="Calibri" w:hAnsi="Garamond"/>
                <w:b/>
                <w:color w:val="000000"/>
              </w:rPr>
              <w:t>Element/cecha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FF6312" w:rsidRDefault="00FF6312">
            <w:pPr>
              <w:spacing w:after="0"/>
              <w:jc w:val="center"/>
              <w:rPr>
                <w:rFonts w:ascii="Garamond" w:eastAsia="Calibri" w:hAnsi="Garamond"/>
                <w:b/>
                <w:color w:val="000000"/>
              </w:rPr>
            </w:pPr>
            <w:r>
              <w:rPr>
                <w:rFonts w:ascii="Garamond" w:eastAsia="Calibri" w:hAnsi="Garamond"/>
                <w:b/>
                <w:color w:val="000000"/>
              </w:rPr>
              <w:t>Charakterystyka (wymagania minimalne)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FF6312" w:rsidRDefault="00FF6312">
            <w:pPr>
              <w:spacing w:after="0"/>
              <w:jc w:val="center"/>
              <w:rPr>
                <w:rFonts w:ascii="Garamond" w:eastAsia="Calibri" w:hAnsi="Garamond"/>
                <w:b/>
                <w:color w:val="000000"/>
              </w:rPr>
            </w:pPr>
            <w:r>
              <w:rPr>
                <w:rFonts w:ascii="Garamond" w:eastAsia="Calibri" w:hAnsi="Garamond"/>
                <w:b/>
                <w:color w:val="000000"/>
              </w:rPr>
              <w:t>Parametry oferowane</w:t>
            </w:r>
          </w:p>
          <w:p w:rsidR="00FF6312" w:rsidRDefault="00FF6312">
            <w:pPr>
              <w:spacing w:after="0"/>
              <w:jc w:val="center"/>
              <w:rPr>
                <w:rFonts w:ascii="Garamond" w:eastAsia="Calibri" w:hAnsi="Garamond"/>
                <w:b/>
                <w:color w:val="000000"/>
              </w:rPr>
            </w:pPr>
            <w:r>
              <w:rPr>
                <w:rFonts w:ascii="Garamond" w:eastAsia="Calibri" w:hAnsi="Garamond"/>
                <w:b/>
                <w:color w:val="000000"/>
              </w:rPr>
              <w:t>(należy dokładnie określić oferowane parametry)</w:t>
            </w:r>
          </w:p>
        </w:tc>
      </w:tr>
      <w:tr w:rsidR="00FF6312" w:rsidTr="00FF6312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1.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Liczba portów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Min. 36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2.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Prędkość pojedynczego portu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Min. 56Gb/s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3.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 xml:space="preserve">Przepływność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4Tb/s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4.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MTU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Od 256 bajtów do 4K bajtów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5.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 xml:space="preserve">Specyfikacja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 xml:space="preserve">IBTA 1.21 i 1.3, 9 wirtualnych linii (8 danych i 1 zarządzająca), </w:t>
            </w:r>
            <w:proofErr w:type="spellStart"/>
            <w:r>
              <w:rPr>
                <w:rFonts w:ascii="Garamond" w:eastAsia="Calibri" w:hAnsi="Garamond" w:cs="Arial"/>
              </w:rPr>
              <w:t>QoS</w:t>
            </w:r>
            <w:proofErr w:type="spellEnd"/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6.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Zarządzanie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Przez port Ethernet, z konsoli tekstowej poprzez protokół SSH.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7.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 xml:space="preserve">Zasilanie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2 redundantne zasilacze z kablami zasilającymi umożliwiającymi podłączenie do szafy 19”.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8.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Chłodzenie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Przełącznik montowany z tyłu szafy. Musi mieć przepływ powietrza z tyłu do przodu.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9.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Mocowanie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 xml:space="preserve">Montowany w standardowej szafie 19”, dołączone szyny montażowe 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trHeight w:val="3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lastRenderedPageBreak/>
              <w:t>10.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Wysokość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Max 1U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11.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Kable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36 kabli do połączenia serwerów typ 2,3  (15 długości 1m, 21 długości 2m). Powinny zostać dostarczone kable z odpowiednimi wkładkami od strony serwera i przełącznika lub odpowiednio zakończone.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</w:tbl>
    <w:p w:rsidR="00FF6312" w:rsidRDefault="00FF6312" w:rsidP="00FF6312">
      <w:pPr>
        <w:rPr>
          <w:rFonts w:ascii="Garamond" w:eastAsia="Calibri" w:hAnsi="Garamond"/>
        </w:rPr>
      </w:pPr>
    </w:p>
    <w:p w:rsidR="00FF6312" w:rsidRDefault="00FF6312" w:rsidP="00FF6312">
      <w:pPr>
        <w:rPr>
          <w:rFonts w:eastAsia="Calibri"/>
        </w:rPr>
      </w:pPr>
    </w:p>
    <w:p w:rsidR="00FF6312" w:rsidRDefault="00FF6312" w:rsidP="00FF6312">
      <w:pPr>
        <w:jc w:val="right"/>
        <w:rPr>
          <w:rFonts w:ascii="Garamond" w:eastAsia="Calibri" w:hAnsi="Garamond"/>
          <w:bCs/>
          <w:color w:val="000000"/>
        </w:rPr>
      </w:pPr>
      <w:r>
        <w:rPr>
          <w:rFonts w:ascii="Garamond" w:eastAsia="Calibri" w:hAnsi="Garamond"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….……………………………………..</w:t>
      </w:r>
    </w:p>
    <w:p w:rsidR="00FF6312" w:rsidRDefault="00FF6312" w:rsidP="00FF6312">
      <w:pPr>
        <w:spacing w:after="0"/>
        <w:jc w:val="right"/>
        <w:rPr>
          <w:rFonts w:ascii="Garamond" w:eastAsia="Calibri" w:hAnsi="Garamond"/>
          <w:color w:val="000000"/>
        </w:rPr>
      </w:pPr>
      <w:r>
        <w:rPr>
          <w:rFonts w:ascii="Garamond" w:eastAsia="Calibri" w:hAnsi="Garamond"/>
          <w:color w:val="000000"/>
        </w:rPr>
        <w:tab/>
      </w:r>
      <w:r>
        <w:rPr>
          <w:rFonts w:ascii="Garamond" w:eastAsia="Calibri" w:hAnsi="Garamond"/>
          <w:color w:val="000000"/>
        </w:rPr>
        <w:tab/>
      </w:r>
      <w:r>
        <w:rPr>
          <w:rFonts w:ascii="Garamond" w:eastAsia="Calibri" w:hAnsi="Garamond"/>
          <w:color w:val="000000"/>
        </w:rPr>
        <w:tab/>
      </w:r>
      <w:r>
        <w:rPr>
          <w:rFonts w:ascii="Garamond" w:eastAsia="Calibri" w:hAnsi="Garamond"/>
          <w:color w:val="000000"/>
        </w:rPr>
        <w:tab/>
      </w:r>
      <w:r>
        <w:rPr>
          <w:rFonts w:ascii="Garamond" w:eastAsia="Calibri" w:hAnsi="Garamond"/>
          <w:color w:val="000000"/>
        </w:rPr>
        <w:tab/>
      </w:r>
      <w:r>
        <w:rPr>
          <w:rFonts w:ascii="Garamond" w:eastAsia="Calibri" w:hAnsi="Garamond"/>
          <w:color w:val="000000"/>
        </w:rPr>
        <w:tab/>
      </w:r>
      <w:r>
        <w:rPr>
          <w:rFonts w:ascii="Garamond" w:eastAsia="Calibri" w:hAnsi="Garamond"/>
          <w:color w:val="000000"/>
        </w:rPr>
        <w:tab/>
        <w:t xml:space="preserve">podpis Wykonawcy lub upoważnionego </w:t>
      </w:r>
    </w:p>
    <w:p w:rsidR="00FF6312" w:rsidRDefault="00FF6312" w:rsidP="00FF6312">
      <w:pPr>
        <w:ind w:left="10620"/>
        <w:rPr>
          <w:rFonts w:ascii="Garamond" w:eastAsia="Calibri" w:hAnsi="Garamond"/>
          <w:color w:val="000000"/>
        </w:rPr>
      </w:pPr>
      <w:r>
        <w:rPr>
          <w:rFonts w:ascii="Garamond" w:eastAsia="Calibri" w:hAnsi="Garamond"/>
          <w:color w:val="000000"/>
        </w:rPr>
        <w:t xml:space="preserve">         przedstawiciela Wykonawcy</w:t>
      </w:r>
    </w:p>
    <w:p w:rsidR="00FF6312" w:rsidRDefault="00FF6312" w:rsidP="00FF6312">
      <w:pPr>
        <w:ind w:left="10620"/>
        <w:rPr>
          <w:rFonts w:ascii="Garamond" w:eastAsia="Calibri" w:hAnsi="Garamond"/>
          <w:color w:val="000000"/>
        </w:rPr>
      </w:pPr>
    </w:p>
    <w:p w:rsidR="00D218FA" w:rsidRDefault="00D218FA" w:rsidP="00FF6312">
      <w:pPr>
        <w:pStyle w:val="Nagwek2"/>
        <w:jc w:val="right"/>
        <w:rPr>
          <w:rFonts w:ascii="Garamond" w:hAnsi="Garamond" w:cs="Times New Roman"/>
          <w:i w:val="0"/>
          <w:sz w:val="22"/>
          <w:szCs w:val="22"/>
        </w:rPr>
      </w:pPr>
    </w:p>
    <w:p w:rsidR="00D218FA" w:rsidRDefault="00D218FA" w:rsidP="00D218FA"/>
    <w:p w:rsidR="00D218FA" w:rsidRPr="00D218FA" w:rsidRDefault="00D218FA" w:rsidP="00D218FA"/>
    <w:p w:rsidR="00D218FA" w:rsidRDefault="00D218FA" w:rsidP="00FF6312">
      <w:pPr>
        <w:pStyle w:val="Nagwek2"/>
        <w:jc w:val="right"/>
        <w:rPr>
          <w:rFonts w:ascii="Garamond" w:hAnsi="Garamond" w:cs="Times New Roman"/>
          <w:i w:val="0"/>
          <w:sz w:val="22"/>
          <w:szCs w:val="22"/>
        </w:rPr>
      </w:pPr>
    </w:p>
    <w:p w:rsidR="00D218FA" w:rsidRDefault="00D218FA" w:rsidP="00FF6312">
      <w:pPr>
        <w:pStyle w:val="Nagwek2"/>
        <w:jc w:val="right"/>
        <w:rPr>
          <w:rFonts w:ascii="Garamond" w:hAnsi="Garamond" w:cs="Times New Roman"/>
          <w:i w:val="0"/>
          <w:sz w:val="22"/>
          <w:szCs w:val="22"/>
        </w:rPr>
      </w:pPr>
    </w:p>
    <w:p w:rsidR="00D218FA" w:rsidRDefault="00D218FA" w:rsidP="00FF6312">
      <w:pPr>
        <w:pStyle w:val="Nagwek2"/>
        <w:jc w:val="right"/>
        <w:rPr>
          <w:rFonts w:ascii="Garamond" w:hAnsi="Garamond" w:cs="Times New Roman"/>
          <w:i w:val="0"/>
          <w:sz w:val="22"/>
          <w:szCs w:val="22"/>
        </w:rPr>
      </w:pPr>
    </w:p>
    <w:p w:rsidR="00D218FA" w:rsidRDefault="00D218FA" w:rsidP="00FF6312">
      <w:pPr>
        <w:pStyle w:val="Nagwek2"/>
        <w:jc w:val="right"/>
        <w:rPr>
          <w:rFonts w:ascii="Garamond" w:hAnsi="Garamond" w:cs="Times New Roman"/>
          <w:i w:val="0"/>
          <w:sz w:val="22"/>
          <w:szCs w:val="22"/>
        </w:rPr>
      </w:pPr>
    </w:p>
    <w:p w:rsidR="00D218FA" w:rsidRDefault="00D218FA" w:rsidP="00FF6312">
      <w:pPr>
        <w:pStyle w:val="Nagwek2"/>
        <w:jc w:val="right"/>
        <w:rPr>
          <w:rFonts w:ascii="Garamond" w:hAnsi="Garamond" w:cs="Times New Roman"/>
          <w:i w:val="0"/>
          <w:sz w:val="22"/>
          <w:szCs w:val="22"/>
        </w:rPr>
      </w:pPr>
    </w:p>
    <w:p w:rsidR="00D218FA" w:rsidRDefault="00D218FA" w:rsidP="00FF6312">
      <w:pPr>
        <w:pStyle w:val="Nagwek2"/>
        <w:jc w:val="right"/>
        <w:rPr>
          <w:rFonts w:ascii="Garamond" w:hAnsi="Garamond" w:cs="Times New Roman"/>
          <w:i w:val="0"/>
          <w:sz w:val="22"/>
          <w:szCs w:val="22"/>
        </w:rPr>
      </w:pPr>
    </w:p>
    <w:p w:rsidR="00D218FA" w:rsidRDefault="00D218FA" w:rsidP="00FF6312">
      <w:pPr>
        <w:pStyle w:val="Nagwek2"/>
        <w:jc w:val="right"/>
        <w:rPr>
          <w:rFonts w:ascii="Garamond" w:hAnsi="Garamond" w:cs="Times New Roman"/>
          <w:i w:val="0"/>
          <w:sz w:val="22"/>
          <w:szCs w:val="22"/>
        </w:rPr>
      </w:pPr>
    </w:p>
    <w:p w:rsidR="00D218FA" w:rsidRDefault="00D218FA" w:rsidP="00FF6312">
      <w:pPr>
        <w:pStyle w:val="Nagwek2"/>
        <w:jc w:val="right"/>
        <w:rPr>
          <w:rFonts w:ascii="Garamond" w:hAnsi="Garamond" w:cs="Times New Roman"/>
          <w:i w:val="0"/>
          <w:sz w:val="22"/>
          <w:szCs w:val="22"/>
        </w:rPr>
      </w:pPr>
    </w:p>
    <w:p w:rsidR="00FF6312" w:rsidRDefault="00FF6312" w:rsidP="00FF6312">
      <w:pPr>
        <w:pStyle w:val="Nagwek2"/>
        <w:jc w:val="right"/>
        <w:rPr>
          <w:rFonts w:ascii="Garamond" w:hAnsi="Garamond" w:cs="Times New Roman"/>
          <w:i w:val="0"/>
          <w:sz w:val="22"/>
          <w:szCs w:val="22"/>
        </w:rPr>
      </w:pPr>
      <w:r>
        <w:rPr>
          <w:rFonts w:ascii="Garamond" w:hAnsi="Garamond" w:cs="Times New Roman"/>
          <w:i w:val="0"/>
          <w:sz w:val="22"/>
          <w:szCs w:val="22"/>
        </w:rPr>
        <w:t>Załącznik 8 do SIWZ</w:t>
      </w:r>
    </w:p>
    <w:p w:rsidR="00FF6312" w:rsidRDefault="00FF6312" w:rsidP="00FF6312">
      <w:pPr>
        <w:pStyle w:val="Nagwek2"/>
        <w:jc w:val="center"/>
        <w:rPr>
          <w:rFonts w:ascii="Garamond" w:hAnsi="Garamond" w:cs="Times New Roman"/>
          <w:i w:val="0"/>
          <w:sz w:val="24"/>
          <w:szCs w:val="24"/>
          <w:u w:val="single"/>
        </w:rPr>
      </w:pPr>
      <w:r>
        <w:rPr>
          <w:rFonts w:ascii="Garamond" w:hAnsi="Garamond" w:cs="Times New Roman"/>
          <w:i w:val="0"/>
          <w:sz w:val="24"/>
          <w:szCs w:val="24"/>
          <w:u w:val="single"/>
        </w:rPr>
        <w:t>Specyfikacja techniczna dla części II</w:t>
      </w:r>
    </w:p>
    <w:p w:rsidR="00FF6312" w:rsidRDefault="00FF6312" w:rsidP="00FF6312">
      <w:pPr>
        <w:rPr>
          <w:rFonts w:eastAsia="Calibri"/>
        </w:rPr>
      </w:pPr>
    </w:p>
    <w:tbl>
      <w:tblPr>
        <w:tblW w:w="15435" w:type="dxa"/>
        <w:jc w:val="center"/>
        <w:tblLayout w:type="fixed"/>
        <w:tblLook w:val="04A0" w:firstRow="1" w:lastRow="0" w:firstColumn="1" w:lastColumn="0" w:noHBand="0" w:noVBand="1"/>
      </w:tblPr>
      <w:tblGrid>
        <w:gridCol w:w="656"/>
        <w:gridCol w:w="2268"/>
        <w:gridCol w:w="8849"/>
        <w:gridCol w:w="3662"/>
      </w:tblGrid>
      <w:tr w:rsidR="00FF6312" w:rsidTr="00FF6312">
        <w:trPr>
          <w:trHeight w:val="416"/>
          <w:tblHeader/>
          <w:jc w:val="center"/>
        </w:trPr>
        <w:tc>
          <w:tcPr>
            <w:tcW w:w="15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312" w:rsidRDefault="00FF6312">
            <w:pPr>
              <w:spacing w:after="0"/>
              <w:rPr>
                <w:rFonts w:ascii="Garamond" w:eastAsia="Calibri" w:hAnsi="Garamond"/>
                <w:b/>
                <w:color w:val="000000"/>
              </w:rPr>
            </w:pPr>
            <w:r>
              <w:rPr>
                <w:rFonts w:ascii="Garamond" w:eastAsia="Calibri" w:hAnsi="Garamond"/>
                <w:b/>
                <w:color w:val="000000"/>
              </w:rPr>
              <w:t>Specyfikacja techniczna nr 4</w:t>
            </w:r>
          </w:p>
        </w:tc>
      </w:tr>
      <w:tr w:rsidR="00FF6312" w:rsidTr="00FF6312">
        <w:trPr>
          <w:tblHeader/>
          <w:jc w:val="center"/>
        </w:trPr>
        <w:tc>
          <w:tcPr>
            <w:tcW w:w="15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312" w:rsidRDefault="00FF6312">
            <w:pPr>
              <w:spacing w:after="0"/>
              <w:jc w:val="center"/>
              <w:rPr>
                <w:rFonts w:ascii="Garamond" w:eastAsia="Calibri" w:hAnsi="Garamond"/>
                <w:b/>
                <w:color w:val="000000"/>
              </w:rPr>
            </w:pPr>
            <w:r>
              <w:rPr>
                <w:rFonts w:ascii="Garamond" w:eastAsia="Calibri" w:hAnsi="Garamond"/>
                <w:b/>
                <w:color w:val="000000"/>
              </w:rPr>
              <w:t>Serwer typ 3</w:t>
            </w:r>
          </w:p>
        </w:tc>
      </w:tr>
      <w:tr w:rsidR="00FF6312" w:rsidTr="00FF6312">
        <w:trPr>
          <w:tblHeader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FF6312" w:rsidRDefault="00FF6312">
            <w:pPr>
              <w:spacing w:after="0"/>
              <w:jc w:val="center"/>
              <w:rPr>
                <w:rFonts w:ascii="Garamond" w:eastAsia="Calibri" w:hAnsi="Garamond"/>
                <w:b/>
                <w:color w:val="000000"/>
              </w:rPr>
            </w:pPr>
            <w:r>
              <w:rPr>
                <w:rFonts w:ascii="Garamond" w:eastAsia="Calibri" w:hAnsi="Garamond"/>
                <w:b/>
                <w:color w:val="000000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FF6312" w:rsidRDefault="00FF6312">
            <w:pPr>
              <w:spacing w:after="0"/>
              <w:jc w:val="center"/>
              <w:rPr>
                <w:rFonts w:ascii="Garamond" w:eastAsia="Calibri" w:hAnsi="Garamond"/>
                <w:b/>
                <w:color w:val="000000"/>
              </w:rPr>
            </w:pPr>
            <w:r>
              <w:rPr>
                <w:rFonts w:ascii="Garamond" w:eastAsia="Calibri" w:hAnsi="Garamond"/>
                <w:b/>
                <w:color w:val="000000"/>
              </w:rPr>
              <w:t>Element/cecha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FF6312" w:rsidRDefault="00FF6312">
            <w:pPr>
              <w:spacing w:after="0"/>
              <w:jc w:val="center"/>
              <w:rPr>
                <w:rFonts w:ascii="Garamond" w:eastAsia="Calibri" w:hAnsi="Garamond"/>
                <w:b/>
                <w:color w:val="000000"/>
              </w:rPr>
            </w:pPr>
            <w:r>
              <w:rPr>
                <w:rFonts w:ascii="Garamond" w:eastAsia="Calibri" w:hAnsi="Garamond"/>
                <w:b/>
                <w:color w:val="000000"/>
              </w:rPr>
              <w:t>Charakterystyka (wymagania minimalne)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FF6312" w:rsidRDefault="00FF6312">
            <w:pPr>
              <w:spacing w:after="0"/>
              <w:jc w:val="center"/>
              <w:rPr>
                <w:rFonts w:ascii="Garamond" w:eastAsia="Calibri" w:hAnsi="Garamond"/>
                <w:b/>
                <w:color w:val="000000"/>
              </w:rPr>
            </w:pPr>
            <w:r>
              <w:rPr>
                <w:rFonts w:ascii="Garamond" w:eastAsia="Calibri" w:hAnsi="Garamond"/>
                <w:b/>
                <w:color w:val="000000"/>
              </w:rPr>
              <w:t>Parametry oferowane</w:t>
            </w:r>
          </w:p>
          <w:p w:rsidR="00FF6312" w:rsidRDefault="00FF6312">
            <w:pPr>
              <w:spacing w:after="0"/>
              <w:jc w:val="center"/>
              <w:rPr>
                <w:rFonts w:ascii="Garamond" w:eastAsia="Calibri" w:hAnsi="Garamond"/>
                <w:b/>
                <w:color w:val="000000"/>
              </w:rPr>
            </w:pPr>
            <w:r>
              <w:rPr>
                <w:rFonts w:ascii="Garamond" w:eastAsia="Calibri" w:hAnsi="Garamond"/>
                <w:b/>
                <w:color w:val="000000"/>
              </w:rPr>
              <w:t>(należy dokładnie określić oferowane parametry)</w:t>
            </w:r>
          </w:p>
        </w:tc>
      </w:tr>
      <w:tr w:rsidR="00FF6312" w:rsidTr="00FF631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Procesory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/>
                <w:u w:val="single"/>
              </w:rPr>
            </w:pPr>
            <w:r>
              <w:rPr>
                <w:rFonts w:ascii="Garamond" w:eastAsia="Calibri" w:hAnsi="Garamond" w:cs="Arial"/>
              </w:rPr>
              <w:t xml:space="preserve">Procesor klasy x86-64 zapewniający uzyskanie wyniku min 210 pkt w teście SPECint_rate2006 Base dla oferowanego serwera w konfiguracji dwuprocesorowej. Zamawiający wymaga, aby wynik testu był dostępny publicznie na stronie </w:t>
            </w:r>
            <w:hyperlink r:id="rId7" w:history="1">
              <w:r>
                <w:rPr>
                  <w:rStyle w:val="Hipercze"/>
                  <w:rFonts w:ascii="Garamond" w:eastAsia="Calibri" w:hAnsi="Garamond"/>
                  <w:color w:val="auto"/>
                </w:rPr>
                <w:t>www.spec.org</w:t>
              </w:r>
            </w:hyperlink>
            <w:r w:rsidR="00172F96">
              <w:rPr>
                <w:rFonts w:eastAsia="Calibri"/>
              </w:rPr>
              <w:t xml:space="preserve"> </w:t>
            </w:r>
            <w:r w:rsidR="00172F96" w:rsidRPr="004122C0">
              <w:rPr>
                <w:rFonts w:ascii="Garamond" w:hAnsi="Garamond"/>
                <w:color w:val="FF0000"/>
                <w:sz w:val="20"/>
                <w:szCs w:val="20"/>
                <w:u w:val="single"/>
              </w:rPr>
              <w:t>lub dołączony do oferty</w:t>
            </w:r>
            <w:r w:rsidR="00172F96">
              <w:rPr>
                <w:rFonts w:ascii="Garamond" w:hAnsi="Garamond"/>
                <w:color w:val="FF0000"/>
                <w:sz w:val="20"/>
                <w:szCs w:val="20"/>
                <w:u w:val="single"/>
              </w:rPr>
              <w:t>.</w:t>
            </w:r>
          </w:p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Liczba procesorów w każdym serwerze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1 (max 4core/CPU)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 xml:space="preserve">Pamięć RAM 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 xml:space="preserve">Min. 128 GB RAM z korekcją błędów Advanced  ECC 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 xml:space="preserve">Sterownik dysków wewnętrznych 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Pr="005D2690" w:rsidRDefault="00FF6312" w:rsidP="005D2690">
            <w:pPr>
              <w:spacing w:after="0"/>
              <w:jc w:val="both"/>
              <w:rPr>
                <w:rFonts w:ascii="Garamond" w:eastAsia="Calibri" w:hAnsi="Garamond" w:cs="Arial"/>
              </w:rPr>
            </w:pPr>
            <w:r w:rsidRPr="005D2690">
              <w:rPr>
                <w:rFonts w:ascii="Garamond" w:eastAsia="Calibri" w:hAnsi="Garamond" w:cs="Arial"/>
              </w:rPr>
              <w:t>Macierzowy, RAID 0,1,5, z pamięcią cache, min 256MB  z podtrzymaniem bateryjnym</w:t>
            </w:r>
            <w:r w:rsidR="005D2690" w:rsidRPr="005D2690">
              <w:rPr>
                <w:rFonts w:ascii="Garamond" w:eastAsia="Calibri" w:hAnsi="Garamond" w:cs="Arial"/>
              </w:rPr>
              <w:t xml:space="preserve"> </w:t>
            </w:r>
            <w:r w:rsidR="005D2690" w:rsidRPr="005D2690">
              <w:rPr>
                <w:rFonts w:ascii="Garamond" w:hAnsi="Garamond"/>
                <w:color w:val="FF0000"/>
              </w:rPr>
              <w:t xml:space="preserve">lub stosowanie sterowników w których podtrzymanie pamięci cache jest realizowane za pomocą zapisu do dedykowanej nieulotnej pamięci </w:t>
            </w:r>
            <w:proofErr w:type="spellStart"/>
            <w:r w:rsidR="005D2690" w:rsidRPr="005D2690">
              <w:rPr>
                <w:rFonts w:ascii="Garamond" w:hAnsi="Garamond"/>
                <w:color w:val="FF0000"/>
              </w:rPr>
              <w:t>flash</w:t>
            </w:r>
            <w:proofErr w:type="spellEnd"/>
            <w:r w:rsidR="005D2690" w:rsidRPr="005D2690">
              <w:rPr>
                <w:rFonts w:ascii="Garamond" w:hAnsi="Garamond"/>
                <w:color w:val="FF0000"/>
              </w:rPr>
              <w:t xml:space="preserve"> w momencie braku zasilania </w:t>
            </w:r>
            <w:r w:rsidR="005D2690" w:rsidRPr="005D2690">
              <w:rPr>
                <w:rFonts w:ascii="Garamond" w:hAnsi="Garamond"/>
                <w:color w:val="FF0000"/>
              </w:rPr>
              <w:br/>
              <w:t>i realizujących wymienione funkcje RAID.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Dyski twarde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  <w:color w:val="FF0000"/>
              </w:rPr>
            </w:pPr>
            <w:r>
              <w:rPr>
                <w:rFonts w:ascii="Garamond" w:eastAsia="Calibri" w:hAnsi="Garamond" w:cs="Arial"/>
              </w:rPr>
              <w:t>6 dyski SAS lub SCSI min. 300 GB typu Hot-plug, min.10000 RPM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Napęd CD-ROM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1 napęd DVD/DVD-RW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Interfejsy FC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Nie wymagane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 xml:space="preserve">Interfejsy </w:t>
            </w:r>
            <w:proofErr w:type="spellStart"/>
            <w:r>
              <w:rPr>
                <w:rFonts w:ascii="Garamond" w:eastAsia="Calibri" w:hAnsi="Garamond" w:cs="Arial"/>
              </w:rPr>
              <w:t>InfiniBand</w:t>
            </w:r>
            <w:proofErr w:type="spellEnd"/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Nie wymagane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Interfejsy sieciowe (LAN)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 xml:space="preserve"> 4 interfejsy fizyczne 1Gb, Ethernet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Interfejs zdalnego zarządzania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Karta zdalnego zarządzania z możliwością przejęcia graficznej konsoli (licencje do zapewnienia tej funkcjonalności powinny być dołączone do serwera). Możliwość włączenie, wyłączenia, resetu serwera. Możliwość mapowania CD/DVD/USB/ISO do zdalnego serwera.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</w:rPr>
            </w:pPr>
          </w:p>
        </w:tc>
      </w:tr>
      <w:tr w:rsidR="00FF6312" w:rsidRPr="000A71D4" w:rsidTr="00FF631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 xml:space="preserve">Wspierane systemy operacyjne 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spacing w:after="0"/>
              <w:rPr>
                <w:rFonts w:ascii="Garamond" w:eastAsia="Calibri" w:hAnsi="Garamond" w:cs="Arial"/>
                <w:lang w:val="en-US"/>
              </w:rPr>
            </w:pPr>
            <w:r>
              <w:rPr>
                <w:rFonts w:ascii="Garamond" w:eastAsia="Calibri" w:hAnsi="Garamond" w:cs="Arial"/>
                <w:lang w:val="en-US"/>
              </w:rPr>
              <w:t>MS Windows 2008, Red Hat Enterprise Linux, SUSE Linux Enterprise Server, VMware.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spacing w:after="0"/>
              <w:rPr>
                <w:rFonts w:ascii="Garamond" w:eastAsia="Calibri" w:hAnsi="Garamond" w:cs="Arial"/>
                <w:lang w:val="en-US"/>
              </w:rPr>
            </w:pPr>
          </w:p>
        </w:tc>
      </w:tr>
      <w:tr w:rsidR="00FF6312" w:rsidTr="00FF631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 xml:space="preserve">Zasilanie 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2 redundantne zasilacze z kablami zasilającymi umożliwiającymi podłączenie do szafy 19”.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Mocowanie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Montowany w standardowej szafie 19”, szyny montażowe dołączone do serwera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rPr>
                <w:rFonts w:ascii="Garamond" w:eastAsia="Calibri" w:hAnsi="Garamond" w:cs="Arial"/>
              </w:rPr>
            </w:pPr>
          </w:p>
        </w:tc>
      </w:tr>
      <w:tr w:rsidR="00FF6312" w:rsidTr="00FF6312">
        <w:trPr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jc w:val="right"/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Wysokość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312" w:rsidRDefault="00FF6312">
            <w:pPr>
              <w:rPr>
                <w:rFonts w:ascii="Garamond" w:eastAsia="Calibri" w:hAnsi="Garamond" w:cs="Arial"/>
              </w:rPr>
            </w:pPr>
            <w:r>
              <w:rPr>
                <w:rFonts w:ascii="Garamond" w:eastAsia="Calibri" w:hAnsi="Garamond" w:cs="Arial"/>
              </w:rPr>
              <w:t>Max 1U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312" w:rsidRDefault="00FF6312">
            <w:pPr>
              <w:rPr>
                <w:rFonts w:ascii="Garamond" w:eastAsia="Calibri" w:hAnsi="Garamond" w:cs="Arial"/>
              </w:rPr>
            </w:pPr>
          </w:p>
        </w:tc>
      </w:tr>
    </w:tbl>
    <w:p w:rsidR="00FF6312" w:rsidRDefault="00FF6312" w:rsidP="00FF6312">
      <w:pPr>
        <w:rPr>
          <w:rFonts w:eastAsia="Calibri"/>
        </w:rPr>
      </w:pPr>
    </w:p>
    <w:p w:rsidR="00FF6312" w:rsidRDefault="00FF6312" w:rsidP="00FF6312">
      <w:pPr>
        <w:rPr>
          <w:rFonts w:ascii="Garamond" w:eastAsia="Calibri" w:hAnsi="Garamond"/>
        </w:rPr>
      </w:pPr>
    </w:p>
    <w:p w:rsidR="00FF6312" w:rsidRDefault="00FF6312" w:rsidP="00FF6312">
      <w:pPr>
        <w:jc w:val="right"/>
        <w:rPr>
          <w:rFonts w:ascii="Garamond" w:eastAsia="Calibri" w:hAnsi="Garamond"/>
          <w:bCs/>
          <w:color w:val="000000"/>
        </w:rPr>
      </w:pPr>
      <w:r>
        <w:rPr>
          <w:rFonts w:ascii="Garamond" w:eastAsia="Calibri" w:hAnsi="Garamond"/>
          <w:bCs/>
          <w:color w:val="00000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….……………………………………..</w:t>
      </w:r>
    </w:p>
    <w:p w:rsidR="00FF6312" w:rsidRDefault="00FF6312" w:rsidP="00FF6312">
      <w:pPr>
        <w:spacing w:after="0"/>
        <w:jc w:val="right"/>
        <w:rPr>
          <w:rFonts w:ascii="Garamond" w:eastAsia="Calibri" w:hAnsi="Garamond"/>
          <w:color w:val="000000"/>
        </w:rPr>
      </w:pPr>
      <w:r>
        <w:rPr>
          <w:rFonts w:ascii="Garamond" w:eastAsia="Calibri" w:hAnsi="Garamond"/>
          <w:color w:val="000000"/>
        </w:rPr>
        <w:tab/>
      </w:r>
      <w:r>
        <w:rPr>
          <w:rFonts w:ascii="Garamond" w:eastAsia="Calibri" w:hAnsi="Garamond"/>
          <w:color w:val="000000"/>
        </w:rPr>
        <w:tab/>
      </w:r>
      <w:r>
        <w:rPr>
          <w:rFonts w:ascii="Garamond" w:eastAsia="Calibri" w:hAnsi="Garamond"/>
          <w:color w:val="000000"/>
        </w:rPr>
        <w:tab/>
      </w:r>
      <w:r>
        <w:rPr>
          <w:rFonts w:ascii="Garamond" w:eastAsia="Calibri" w:hAnsi="Garamond"/>
          <w:color w:val="000000"/>
        </w:rPr>
        <w:tab/>
      </w:r>
      <w:r>
        <w:rPr>
          <w:rFonts w:ascii="Garamond" w:eastAsia="Calibri" w:hAnsi="Garamond"/>
          <w:color w:val="000000"/>
        </w:rPr>
        <w:tab/>
      </w:r>
      <w:r>
        <w:rPr>
          <w:rFonts w:ascii="Garamond" w:eastAsia="Calibri" w:hAnsi="Garamond"/>
          <w:color w:val="000000"/>
        </w:rPr>
        <w:tab/>
      </w:r>
      <w:r>
        <w:rPr>
          <w:rFonts w:ascii="Garamond" w:eastAsia="Calibri" w:hAnsi="Garamond"/>
          <w:color w:val="000000"/>
        </w:rPr>
        <w:tab/>
        <w:t xml:space="preserve">podpis Wykonawcy lub upoważnionego </w:t>
      </w:r>
    </w:p>
    <w:p w:rsidR="00FF6312" w:rsidRDefault="00FF6312" w:rsidP="00FF6312">
      <w:pPr>
        <w:spacing w:after="0"/>
        <w:jc w:val="right"/>
        <w:rPr>
          <w:rFonts w:ascii="Garamond" w:eastAsia="Calibri" w:hAnsi="Garamond"/>
          <w:color w:val="000000"/>
        </w:rPr>
      </w:pPr>
      <w:r>
        <w:rPr>
          <w:rFonts w:ascii="Garamond" w:eastAsia="Calibri" w:hAnsi="Garamond"/>
          <w:color w:val="000000"/>
        </w:rPr>
        <w:t xml:space="preserve">         przedstawiciela Wykonawcy</w:t>
      </w:r>
    </w:p>
    <w:p w:rsidR="00FF6312" w:rsidRDefault="00FF6312" w:rsidP="00FF6312">
      <w:pPr>
        <w:spacing w:after="0"/>
        <w:rPr>
          <w:rFonts w:ascii="Garamond" w:eastAsia="Calibri" w:hAnsi="Garamond"/>
          <w:color w:val="000000"/>
        </w:rPr>
        <w:sectPr w:rsidR="00FF6312">
          <w:pgSz w:w="16840" w:h="11907" w:orient="landscape"/>
          <w:pgMar w:top="1418" w:right="1418" w:bottom="1418" w:left="1418" w:header="1134" w:footer="709" w:gutter="0"/>
          <w:cols w:space="708"/>
        </w:sectPr>
      </w:pPr>
    </w:p>
    <w:p w:rsidR="00D26E8B" w:rsidRDefault="00D26E8B"/>
    <w:sectPr w:rsidR="00D26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88"/>
    <w:rsid w:val="000A71D4"/>
    <w:rsid w:val="00172F96"/>
    <w:rsid w:val="005D2690"/>
    <w:rsid w:val="00BC1888"/>
    <w:rsid w:val="00D218FA"/>
    <w:rsid w:val="00D26E8B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6312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F63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F6312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FF63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6312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F63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F6312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FF6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ec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pec.org/" TargetMode="External"/><Relationship Id="rId5" Type="http://schemas.openxmlformats.org/officeDocument/2006/relationships/hyperlink" Target="http://www.spec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1218</Words>
  <Characters>7310</Characters>
  <Application>Microsoft Office Word</Application>
  <DocSecurity>0</DocSecurity>
  <Lines>60</Lines>
  <Paragraphs>17</Paragraphs>
  <ScaleCrop>false</ScaleCrop>
  <Company>PIG</Company>
  <LinksUpToDate>false</LinksUpToDate>
  <CharactersWithSpaces>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Juszczak</dc:creator>
  <cp:keywords/>
  <dc:description/>
  <cp:lastModifiedBy>Anna Juszczak</cp:lastModifiedBy>
  <cp:revision>6</cp:revision>
  <dcterms:created xsi:type="dcterms:W3CDTF">2015-10-23T09:57:00Z</dcterms:created>
  <dcterms:modified xsi:type="dcterms:W3CDTF">2015-10-23T10:50:00Z</dcterms:modified>
</cp:coreProperties>
</file>