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87" w:rsidRPr="00A03778" w:rsidRDefault="00F46F87" w:rsidP="00CB626F">
      <w:pPr>
        <w:pStyle w:val="Nagwek2"/>
        <w:rPr>
          <w:rFonts w:ascii="Garamond" w:hAnsi="Garamond"/>
          <w:lang w:val="pl-PL" w:eastAsia="pl-PL"/>
        </w:rPr>
      </w:pPr>
    </w:p>
    <w:p w:rsidR="008701D5" w:rsidRPr="00830FE3" w:rsidRDefault="008701D5" w:rsidP="00830FE3">
      <w:pPr>
        <w:autoSpaceDE w:val="0"/>
        <w:autoSpaceDN w:val="0"/>
        <w:adjustRightInd w:val="0"/>
        <w:spacing w:after="0"/>
        <w:contextualSpacing/>
        <w:jc w:val="right"/>
        <w:rPr>
          <w:rFonts w:ascii="Garamond" w:hAnsi="Garamond" w:cs="Arial"/>
          <w:b/>
          <w:bCs/>
          <w:color w:val="000000"/>
          <w:lang w:eastAsia="pl-PL"/>
        </w:rPr>
      </w:pPr>
      <w:r w:rsidRPr="00830FE3">
        <w:rPr>
          <w:rFonts w:ascii="Garamond" w:hAnsi="Garamond" w:cs="Arial"/>
          <w:b/>
          <w:bCs/>
          <w:color w:val="000000"/>
          <w:lang w:eastAsia="pl-PL"/>
        </w:rPr>
        <w:t>Załącznik nr 1 do SIWZ</w:t>
      </w:r>
    </w:p>
    <w:p w:rsidR="00806F2D" w:rsidRDefault="007742F0" w:rsidP="009F7EE5">
      <w:pPr>
        <w:autoSpaceDE w:val="0"/>
        <w:autoSpaceDN w:val="0"/>
        <w:spacing w:before="120" w:after="120"/>
        <w:contextualSpacing/>
        <w:jc w:val="center"/>
        <w:rPr>
          <w:rFonts w:ascii="Garamond" w:hAnsi="Garamond"/>
          <w:b/>
          <w:u w:val="single"/>
          <w:lang w:eastAsia="pl-PL"/>
        </w:rPr>
      </w:pPr>
      <w:r w:rsidRPr="00CC226C">
        <w:rPr>
          <w:rFonts w:ascii="Garamond" w:hAnsi="Garamond"/>
          <w:b/>
          <w:u w:val="single"/>
          <w:lang w:eastAsia="pl-PL"/>
        </w:rPr>
        <w:t>OPIS PRZEDMIOTU ZAMÓWIENI</w:t>
      </w:r>
      <w:r w:rsidR="00C25170" w:rsidRPr="00CC226C">
        <w:rPr>
          <w:rFonts w:ascii="Garamond" w:hAnsi="Garamond"/>
          <w:b/>
          <w:u w:val="single"/>
          <w:lang w:eastAsia="pl-PL"/>
        </w:rPr>
        <w:t>A</w:t>
      </w:r>
    </w:p>
    <w:p w:rsidR="000F5D5F" w:rsidRPr="009F7EE5" w:rsidRDefault="000F5D5F" w:rsidP="009F7EE5">
      <w:pPr>
        <w:autoSpaceDE w:val="0"/>
        <w:autoSpaceDN w:val="0"/>
        <w:spacing w:before="120" w:after="120"/>
        <w:contextualSpacing/>
        <w:jc w:val="center"/>
        <w:rPr>
          <w:rFonts w:ascii="Garamond" w:hAnsi="Garamond"/>
          <w:b/>
          <w:u w:val="single"/>
          <w:lang w:eastAsia="pl-PL"/>
        </w:rPr>
      </w:pPr>
    </w:p>
    <w:p w:rsidR="000F5D5F" w:rsidRPr="000F5D5F" w:rsidRDefault="000F5D5F" w:rsidP="000F5D5F">
      <w:pPr>
        <w:ind w:firstLine="708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Producent </w:t>
      </w:r>
      <w:r w:rsidR="00241108">
        <w:rPr>
          <w:rFonts w:ascii="Garamond" w:hAnsi="Garamond"/>
          <w:color w:val="000000"/>
          <w:lang w:eastAsia="pl-PL"/>
        </w:rPr>
        <w:t>musi</w:t>
      </w:r>
      <w:r w:rsidRPr="000F5D5F">
        <w:rPr>
          <w:rFonts w:ascii="Garamond" w:hAnsi="Garamond"/>
          <w:color w:val="000000"/>
          <w:lang w:eastAsia="pl-PL"/>
        </w:rPr>
        <w:t xml:space="preserve"> mieć certyfikat zarządzania jakością ISO 9001 oraz certyfikat systemów zarządzania środowiskowego ISO 14001. Wykonawca zobowiązany jest do zapewnienia serwisu dostarczonego i zainstalowanego UPS. Czynności serwisowe nie mogą spowodować wygaśnięcia gwarancji producenta. </w:t>
      </w:r>
    </w:p>
    <w:p w:rsidR="000F5D5F" w:rsidRPr="000F5D5F" w:rsidRDefault="000F5D5F" w:rsidP="000F5D5F">
      <w:pPr>
        <w:ind w:firstLine="708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System UPS musi być wykonany jako modułowy, redundantny. Układ musi zapewniać łatwą i bezprzerwową rozbudowę i naprawę (wymianę) uszkodzonego modułu</w:t>
      </w:r>
      <w:r w:rsidR="00244CD0">
        <w:rPr>
          <w:rFonts w:ascii="Garamond" w:hAnsi="Garamond"/>
          <w:color w:val="000000"/>
          <w:lang w:eastAsia="pl-PL"/>
        </w:rPr>
        <w:t>.</w:t>
      </w:r>
      <w:r w:rsidR="00C676D7">
        <w:rPr>
          <w:rFonts w:ascii="Garamond" w:hAnsi="Garamond"/>
          <w:color w:val="000000"/>
          <w:lang w:eastAsia="pl-PL"/>
        </w:rPr>
        <w:t xml:space="preserve"> </w:t>
      </w:r>
      <w:r w:rsidRPr="000F5D5F">
        <w:rPr>
          <w:rFonts w:ascii="Garamond" w:hAnsi="Garamond"/>
          <w:color w:val="000000"/>
          <w:lang w:eastAsia="pl-PL"/>
        </w:rPr>
        <w:t>UPS ma być konstrukcji VFI i klasy SS 111 zgodnie z normą PN- EN 62040-3. System ma być pozbawiony pojedynczych punktów awarii. Dla osiągnięcia najkrótszego czasu naprawy, konstrukcja systemu UPS ma być</w:t>
      </w:r>
      <w:r w:rsidR="00C676D7">
        <w:rPr>
          <w:rFonts w:ascii="Garamond" w:hAnsi="Garamond"/>
          <w:color w:val="000000"/>
          <w:lang w:eastAsia="pl-PL"/>
        </w:rPr>
        <w:t xml:space="preserve"> </w:t>
      </w:r>
      <w:r w:rsidR="00244CD0">
        <w:rPr>
          <w:rFonts w:ascii="Garamond" w:hAnsi="Garamond"/>
          <w:color w:val="000000"/>
          <w:lang w:eastAsia="pl-PL"/>
        </w:rPr>
        <w:t>modułowa</w:t>
      </w:r>
      <w:r w:rsidRPr="000F5D5F">
        <w:rPr>
          <w:rFonts w:ascii="Garamond" w:hAnsi="Garamond"/>
          <w:color w:val="000000"/>
          <w:lang w:eastAsia="pl-PL"/>
        </w:rPr>
        <w:t>. Szafa ma być wyposażona w drzwiczki zamykane na klucz. System ma zapewniać moc dla zasilania odbiorników minimum 60kW + moduł nadmiarowy, a przy rezygnacji z redundancji -  minimum 80kW,  przy czym w początkowej fazie system nie może się składać z większej ilości niż 4 moduły UPS. Szafa UPS ma być od razu przygotowana do dalszej rozbudowy mocy systemu co najmniej do 100kW + moduł nadmiarowy a w przypadku rezygnacji z  redundancji – co najmniej 120kW. Każdy moduł UPS ma być wyposażony we własną, nienależną od innych modułów baterię zapewniającą 15 minutowe podtrzymanie 100% mocy nominalnej modułu. Bateria ma być żywotności minimum 10-12 letniej zgodnie z wymaganiami EUROBAT.</w:t>
      </w:r>
    </w:p>
    <w:p w:rsidR="000F5D5F" w:rsidRPr="000F5D5F" w:rsidRDefault="000F5D5F" w:rsidP="000F5D5F">
      <w:pPr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Cały system UPS musi spełniać następujące warunki techniczne i konstrukcyjne: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system ma się składać z niezależnych modułów 3 fazowych na wejściu i na wyjściu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konstrukcja modułów -VFI i klasa SS 111 zgodnie z PN-EN </w:t>
      </w:r>
      <w:r w:rsidR="00D67E2E">
        <w:rPr>
          <w:rFonts w:ascii="Garamond" w:hAnsi="Garamond"/>
          <w:color w:val="000000"/>
          <w:lang w:eastAsia="pl-PL"/>
        </w:rPr>
        <w:t>62040-3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konstrukcja modułowa zapewniająca naprawę systemu redundantnego poprzez wymianę modułu UPS 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konstrukcja modułowa pozwalająca na rozbudowę systemu UPS,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w systemie równoległym każdy moduł UPS ma własne i niezależne: prostownik, ładowarkę bateryjną, baterię, falownik, układ sterowania i kontroli co zapewnia eliminację problemu pojedynczego punktu awarii,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początkowa moc systemu minimum 80kW (minimum 60kW + redundancja), docelowo nie mniej niż 120kW (minimum </w:t>
      </w:r>
      <w:r w:rsidR="005F0C2D">
        <w:rPr>
          <w:rFonts w:ascii="Garamond" w:hAnsi="Garamond"/>
          <w:color w:val="000000"/>
          <w:lang w:eastAsia="pl-PL"/>
        </w:rPr>
        <w:t xml:space="preserve">90 </w:t>
      </w:r>
      <w:r w:rsidR="005F0C2D" w:rsidRPr="000F5D5F">
        <w:rPr>
          <w:rFonts w:ascii="Garamond" w:hAnsi="Garamond"/>
          <w:color w:val="000000"/>
          <w:lang w:eastAsia="pl-PL"/>
        </w:rPr>
        <w:t>kW</w:t>
      </w:r>
      <w:r w:rsidRPr="000F5D5F">
        <w:rPr>
          <w:rFonts w:ascii="Garamond" w:hAnsi="Garamond"/>
          <w:color w:val="000000"/>
          <w:lang w:eastAsia="pl-PL"/>
        </w:rPr>
        <w:t>+ redundancja),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początkowo system UPS nie może się składać z większej niż 4 moduły UPS (w tym jeden   nadmiarowy) co zapewni pożądany poziom niezawodności,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moduły muszą być umieszczone w szafie UPS z możliwością jej zamknięcia na klucz oraz  posiadającej niezależny bezprzerwowy by-pass serwisowy dla docelowej mocy.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baterie mają być umieszczone na stelażach</w:t>
      </w:r>
      <w:r w:rsidR="005F0C2D">
        <w:rPr>
          <w:rFonts w:ascii="Garamond" w:hAnsi="Garamond"/>
          <w:color w:val="000000"/>
          <w:lang w:eastAsia="pl-PL"/>
        </w:rPr>
        <w:t>/szafa</w:t>
      </w:r>
      <w:r w:rsidRPr="000F5D5F">
        <w:rPr>
          <w:rFonts w:ascii="Garamond" w:hAnsi="Garamond"/>
          <w:color w:val="000000"/>
          <w:lang w:eastAsia="pl-PL"/>
        </w:rPr>
        <w:t xml:space="preserve"> (</w:t>
      </w:r>
      <w:r w:rsidR="005F0C2D">
        <w:rPr>
          <w:rFonts w:ascii="Garamond" w:hAnsi="Garamond"/>
          <w:color w:val="000000"/>
          <w:lang w:eastAsia="pl-PL"/>
        </w:rPr>
        <w:t>mini. 2 łańcuchy bateryjne dla całego systemu</w:t>
      </w:r>
      <w:r w:rsidRPr="000F5D5F">
        <w:rPr>
          <w:rFonts w:ascii="Garamond" w:hAnsi="Garamond"/>
          <w:color w:val="000000"/>
          <w:lang w:eastAsia="pl-PL"/>
        </w:rPr>
        <w:t xml:space="preserve">) z możliwością ich wymiany bez wyłączania </w:t>
      </w:r>
      <w:proofErr w:type="spellStart"/>
      <w:r w:rsidRPr="000F5D5F">
        <w:rPr>
          <w:rFonts w:ascii="Garamond" w:hAnsi="Garamond"/>
          <w:color w:val="000000"/>
          <w:lang w:eastAsia="pl-PL"/>
        </w:rPr>
        <w:t>UPSa</w:t>
      </w:r>
      <w:proofErr w:type="spellEnd"/>
      <w:r w:rsidRPr="000F5D5F">
        <w:rPr>
          <w:rFonts w:ascii="Garamond" w:hAnsi="Garamond"/>
          <w:color w:val="000000"/>
          <w:lang w:eastAsia="pl-PL"/>
        </w:rPr>
        <w:t xml:space="preserve"> lub przechodzenia na by-pass serwisowy.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system ma być zasilany 3 fazowo 400/230V 50Hz i ma mieć takie samo wyjście,</w:t>
      </w:r>
    </w:p>
    <w:p w:rsidR="000F5D5F" w:rsidRPr="00F03157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b/>
          <w:color w:val="000000"/>
          <w:u w:val="single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zakres napięć wejściowych kiedy zachowana jest pełna moc wyjściowa i pełna moc ładowania akumulatorów minimum: 400V +15%/-20%, </w:t>
      </w:r>
      <w:r w:rsidR="00F03157" w:rsidRPr="00F03157">
        <w:rPr>
          <w:rFonts w:ascii="Garamond" w:hAnsi="Garamond"/>
          <w:b/>
          <w:color w:val="000000"/>
          <w:u w:val="single"/>
          <w:lang w:eastAsia="pl-PL"/>
        </w:rPr>
        <w:t>35</w:t>
      </w:r>
      <w:r w:rsidRPr="00F03157">
        <w:rPr>
          <w:rFonts w:ascii="Garamond" w:hAnsi="Garamond"/>
          <w:b/>
          <w:color w:val="000000"/>
          <w:u w:val="single"/>
          <w:lang w:eastAsia="pl-PL"/>
        </w:rPr>
        <w:t>-70Hz</w:t>
      </w:r>
    </w:p>
    <w:p w:rsidR="000F5D5F" w:rsidRPr="000F5D5F" w:rsidRDefault="000F5D5F" w:rsidP="00FD778B">
      <w:pPr>
        <w:pStyle w:val="Default0"/>
        <w:numPr>
          <w:ilvl w:val="0"/>
          <w:numId w:val="29"/>
        </w:num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0F5D5F">
        <w:rPr>
          <w:rFonts w:ascii="Garamond" w:hAnsi="Garamond"/>
          <w:sz w:val="22"/>
          <w:szCs w:val="22"/>
        </w:rPr>
        <w:t xml:space="preserve">współczynnik mocy na wyjściu modułu UPS </w:t>
      </w:r>
      <w:proofErr w:type="spellStart"/>
      <w:r w:rsidRPr="000F5D5F">
        <w:rPr>
          <w:rFonts w:ascii="Garamond" w:hAnsi="Garamond"/>
          <w:sz w:val="22"/>
          <w:szCs w:val="22"/>
        </w:rPr>
        <w:t>cosφ</w:t>
      </w:r>
      <w:proofErr w:type="spellEnd"/>
      <w:r w:rsidRPr="000F5D5F">
        <w:rPr>
          <w:rFonts w:ascii="Garamond" w:hAnsi="Garamond"/>
          <w:sz w:val="22"/>
          <w:szCs w:val="22"/>
        </w:rPr>
        <w:t xml:space="preserve"> =1 (moc wyjściowa w kVA=kW)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zakres synchronizacji do napięcia zasilającego: ustawiany 2% lub 4%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poziom zawartości harmonicznych zasilających pojedynczy moduł UPS poniżej 4% dla obciążenia 100%,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współczynnik mocy wejściowej nie mniejszy jak 0,9</w:t>
      </w:r>
      <w:r w:rsidR="00D67E2E">
        <w:rPr>
          <w:rFonts w:ascii="Garamond" w:hAnsi="Garamond"/>
          <w:color w:val="000000"/>
          <w:lang w:eastAsia="pl-PL"/>
        </w:rPr>
        <w:t>9</w:t>
      </w:r>
      <w:r w:rsidRPr="000F5D5F">
        <w:rPr>
          <w:rFonts w:ascii="Garamond" w:hAnsi="Garamond"/>
          <w:color w:val="000000"/>
          <w:lang w:eastAsia="pl-PL"/>
        </w:rPr>
        <w:t xml:space="preserve"> dla obciążenia 100%,</w:t>
      </w:r>
    </w:p>
    <w:p w:rsidR="000F5D5F" w:rsidRPr="00C676D7" w:rsidRDefault="000F5D5F" w:rsidP="00C676D7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baterie bezobsługowe zapewniające podtrzymanie 15 minut przy obciążeniu 100% </w:t>
      </w:r>
      <w:r w:rsidR="00D67E2E">
        <w:rPr>
          <w:rFonts w:ascii="Garamond" w:hAnsi="Garamond"/>
          <w:color w:val="000000"/>
          <w:lang w:eastAsia="pl-PL"/>
        </w:rPr>
        <w:t xml:space="preserve">każdego </w:t>
      </w:r>
      <w:r w:rsidR="005F0C2D">
        <w:rPr>
          <w:rFonts w:ascii="Garamond" w:hAnsi="Garamond"/>
          <w:color w:val="000000"/>
          <w:lang w:eastAsia="pl-PL"/>
        </w:rPr>
        <w:t>systemu</w:t>
      </w:r>
      <w:r w:rsidRPr="000F5D5F">
        <w:rPr>
          <w:rFonts w:ascii="Garamond" w:hAnsi="Garamond"/>
          <w:color w:val="000000"/>
          <w:lang w:eastAsia="pl-PL"/>
        </w:rPr>
        <w:t>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przeciążalność wyjścia 150% przez </w:t>
      </w:r>
      <w:r w:rsidR="005F0C2D">
        <w:rPr>
          <w:rFonts w:ascii="Garamond" w:hAnsi="Garamond"/>
          <w:color w:val="000000"/>
          <w:lang w:eastAsia="pl-PL"/>
        </w:rPr>
        <w:t>5</w:t>
      </w:r>
      <w:r w:rsidR="005F0C2D" w:rsidRPr="000F5D5F">
        <w:rPr>
          <w:rFonts w:ascii="Garamond" w:hAnsi="Garamond"/>
          <w:color w:val="000000"/>
          <w:lang w:eastAsia="pl-PL"/>
        </w:rPr>
        <w:t xml:space="preserve"> </w:t>
      </w:r>
      <w:r w:rsidRPr="000F5D5F">
        <w:rPr>
          <w:rFonts w:ascii="Garamond" w:hAnsi="Garamond"/>
          <w:color w:val="000000"/>
          <w:lang w:eastAsia="pl-PL"/>
        </w:rPr>
        <w:t>sekund, 125% przez 1 minut</w:t>
      </w:r>
      <w:r w:rsidR="00D67E2E">
        <w:rPr>
          <w:rFonts w:ascii="Garamond" w:hAnsi="Garamond"/>
          <w:color w:val="000000"/>
          <w:lang w:eastAsia="pl-PL"/>
        </w:rPr>
        <w:t>ę</w:t>
      </w:r>
      <w:r w:rsidRPr="000F5D5F">
        <w:rPr>
          <w:rFonts w:ascii="Garamond" w:hAnsi="Garamond"/>
          <w:color w:val="000000"/>
          <w:lang w:eastAsia="pl-PL"/>
        </w:rPr>
        <w:t>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lastRenderedPageBreak/>
        <w:t xml:space="preserve">zawartość harmonicznych w napięciu wyjściowym </w:t>
      </w:r>
      <w:proofErr w:type="spellStart"/>
      <w:r w:rsidRPr="000F5D5F">
        <w:rPr>
          <w:rFonts w:ascii="Garamond" w:hAnsi="Garamond"/>
          <w:color w:val="000000"/>
          <w:lang w:eastAsia="pl-PL"/>
        </w:rPr>
        <w:t>maks</w:t>
      </w:r>
      <w:proofErr w:type="spellEnd"/>
      <w:r w:rsidRPr="000F5D5F">
        <w:rPr>
          <w:rFonts w:ascii="Garamond" w:hAnsi="Garamond"/>
          <w:color w:val="000000"/>
          <w:lang w:eastAsia="pl-PL"/>
        </w:rPr>
        <w:t xml:space="preserve"> 1,5% przy obciążeniu liniowym i maks. 3% przy obciążeniu nieliniowym (</w:t>
      </w:r>
      <w:proofErr w:type="spellStart"/>
      <w:r w:rsidRPr="000F5D5F">
        <w:rPr>
          <w:rFonts w:ascii="Garamond" w:hAnsi="Garamond"/>
          <w:color w:val="000000"/>
          <w:lang w:eastAsia="pl-PL"/>
        </w:rPr>
        <w:t>zg</w:t>
      </w:r>
      <w:proofErr w:type="spellEnd"/>
      <w:r w:rsidRPr="000F5D5F">
        <w:rPr>
          <w:rFonts w:ascii="Garamond" w:hAnsi="Garamond"/>
          <w:color w:val="000000"/>
          <w:lang w:eastAsia="pl-PL"/>
        </w:rPr>
        <w:t>. z PN-EN 62040-3:2001),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stabilność napięcia statyczna ±1% i dynamiczna (skok 0%-100%-0%) ±4%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 xml:space="preserve">dopuszczalna asymetria obciążenia – 100% </w:t>
      </w:r>
      <w:r w:rsidR="00D67E2E">
        <w:rPr>
          <w:rFonts w:ascii="Garamond" w:hAnsi="Garamond"/>
          <w:color w:val="000000"/>
          <w:lang w:eastAsia="pl-PL"/>
        </w:rPr>
        <w:t>obciążenia dla każdej fazy</w:t>
      </w:r>
      <w:r w:rsidRPr="000F5D5F">
        <w:rPr>
          <w:rFonts w:ascii="Garamond" w:hAnsi="Garamond"/>
          <w:color w:val="000000"/>
          <w:lang w:eastAsia="pl-PL"/>
        </w:rPr>
        <w:t>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sprawność przetwarzania AC/AC min 95,5% przy 100% obciążenia i 94,5% przy 25% obciążenia,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spełnianie norm dotyczących bezpieczeństwa: EN 62040-1-1:2003, EN 60950-1:2001/A11:2004</w:t>
      </w:r>
    </w:p>
    <w:p w:rsidR="000F5D5F" w:rsidRPr="000F5D5F" w:rsidRDefault="000F5D5F" w:rsidP="00FD778B">
      <w:pPr>
        <w:numPr>
          <w:ilvl w:val="0"/>
          <w:numId w:val="29"/>
        </w:numPr>
        <w:tabs>
          <w:tab w:val="clear" w:pos="720"/>
        </w:tabs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spełnianie norm dotyczących kompatybilności elektromagnetycznej: EN 50091-2:1995, EN61000-3-2:2000, EN6100-3-3:1995/A1:2001, EN61000-6-2:2001, EN61000-6-4:2001</w:t>
      </w:r>
    </w:p>
    <w:p w:rsidR="000F5D5F" w:rsidRP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poziom ochrony szafy UPS - IP 20.</w:t>
      </w:r>
    </w:p>
    <w:p w:rsidR="000F5D5F" w:rsidRDefault="000F5D5F" w:rsidP="00FD778B">
      <w:pPr>
        <w:numPr>
          <w:ilvl w:val="0"/>
          <w:numId w:val="29"/>
        </w:numPr>
        <w:spacing w:after="0"/>
        <w:contextualSpacing/>
        <w:jc w:val="both"/>
        <w:rPr>
          <w:rFonts w:ascii="Garamond" w:hAnsi="Garamond"/>
          <w:color w:val="000000"/>
          <w:lang w:eastAsia="pl-PL"/>
        </w:rPr>
      </w:pPr>
      <w:r w:rsidRPr="000F5D5F">
        <w:rPr>
          <w:rFonts w:ascii="Garamond" w:hAnsi="Garamond"/>
          <w:color w:val="000000"/>
          <w:lang w:eastAsia="pl-PL"/>
        </w:rPr>
        <w:t>System UPS powinien być wyposażony w adapter SNMP i oprogramowanie monitorujące dla wszystkich modułów UPS</w:t>
      </w:r>
    </w:p>
    <w:p w:rsidR="00C676D7" w:rsidRPr="000F5D5F" w:rsidRDefault="00C676D7" w:rsidP="00C676D7">
      <w:pPr>
        <w:spacing w:after="0"/>
        <w:ind w:left="720"/>
        <w:contextualSpacing/>
        <w:jc w:val="both"/>
        <w:rPr>
          <w:rFonts w:ascii="Garamond" w:hAnsi="Garamond"/>
          <w:color w:val="000000"/>
          <w:lang w:eastAsia="pl-PL"/>
        </w:rPr>
      </w:pPr>
    </w:p>
    <w:p w:rsidR="000F5D5F" w:rsidRPr="000F5D5F" w:rsidRDefault="000F5D5F" w:rsidP="000F5D5F">
      <w:pPr>
        <w:pStyle w:val="Tytu"/>
        <w:spacing w:line="276" w:lineRule="auto"/>
        <w:contextualSpacing/>
        <w:jc w:val="left"/>
        <w:rPr>
          <w:rFonts w:ascii="Garamond" w:eastAsia="Times New Roman" w:hAnsi="Garamond"/>
          <w:b w:val="0"/>
          <w:bCs w:val="0"/>
          <w:color w:val="000000"/>
          <w:sz w:val="22"/>
          <w:szCs w:val="22"/>
        </w:rPr>
      </w:pPr>
      <w:r w:rsidRPr="000F5D5F">
        <w:rPr>
          <w:rFonts w:ascii="Garamond" w:eastAsia="Times New Roman" w:hAnsi="Garamond"/>
          <w:b w:val="0"/>
          <w:bCs w:val="0"/>
          <w:color w:val="000000"/>
          <w:sz w:val="22"/>
          <w:szCs w:val="22"/>
        </w:rPr>
        <w:t>Parametry techniczne UPS</w:t>
      </w:r>
    </w:p>
    <w:tbl>
      <w:tblPr>
        <w:tblW w:w="0" w:type="auto"/>
        <w:jc w:val="center"/>
        <w:tblInd w:w="-2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4329"/>
        <w:gridCol w:w="4318"/>
      </w:tblGrid>
      <w:tr w:rsidR="000F5D5F" w:rsidRPr="000F5D5F" w:rsidTr="000F5D5F">
        <w:trPr>
          <w:trHeight w:val="771"/>
          <w:jc w:val="center"/>
        </w:trPr>
        <w:tc>
          <w:tcPr>
            <w:tcW w:w="669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b/>
                <w:color w:val="000000"/>
                <w:lang w:eastAsia="pl-PL"/>
              </w:rPr>
              <w:t>L.P.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4329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b/>
                <w:color w:val="000000"/>
                <w:lang w:eastAsia="pl-PL"/>
              </w:rPr>
              <w:t>Opis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4318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b/>
                <w:color w:val="000000"/>
                <w:lang w:eastAsia="pl-PL"/>
              </w:rPr>
              <w:t>Wymagane parametry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wykonania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UPS VFI SS 111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zgodnie z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PN-EN 62040-3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modułowa, redundancja</w:t>
            </w:r>
          </w:p>
        </w:tc>
        <w:tc>
          <w:tcPr>
            <w:tcW w:w="4318" w:type="dxa"/>
            <w:vAlign w:val="center"/>
          </w:tcPr>
          <w:p w:rsidR="000F5D5F" w:rsidRPr="000F5D5F" w:rsidRDefault="00223C51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konstrukcja modułowa zapewniająca naprawę systemu redundantnego poprzez wymianę modułu UPS 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Nie może być pojedynczego punktu awarii od którego zależy działanie całego systemu UPS</w:t>
            </w:r>
          </w:p>
        </w:tc>
        <w:tc>
          <w:tcPr>
            <w:tcW w:w="4318" w:type="dxa"/>
            <w:vAlign w:val="center"/>
          </w:tcPr>
          <w:p w:rsidR="005A01F3" w:rsidRDefault="000F5D5F" w:rsidP="00D67E2E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każdy moduł ma własny następujące elementy: prostownik, falownik  </w:t>
            </w:r>
          </w:p>
          <w:p w:rsidR="000F5D5F" w:rsidRPr="000F5D5F" w:rsidRDefault="000F5D5F" w:rsidP="00D67E2E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4.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Zasilanie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5.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Napięcie wyjściowe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6.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Nominalna moc pozorna modułów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 20kVA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7.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Wyjściowy współczynnik mocy cos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6A"/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1,0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8.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System baterii</w:t>
            </w:r>
          </w:p>
        </w:tc>
        <w:tc>
          <w:tcPr>
            <w:tcW w:w="4318" w:type="dxa"/>
            <w:vAlign w:val="center"/>
          </w:tcPr>
          <w:p w:rsidR="000F5D5F" w:rsidRPr="000F5D5F" w:rsidRDefault="005F0C2D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mini. 2 łańcuchy bateryjne dla całego systemu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9.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Czas podtrzymania dla każdego modułu UPS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5A01F3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 minut dla </w:t>
            </w:r>
            <w:r w:rsidR="005A01F3">
              <w:rPr>
                <w:rFonts w:ascii="Garamond" w:hAnsi="Garamond"/>
                <w:color w:val="000000"/>
                <w:lang w:eastAsia="pl-PL"/>
              </w:rPr>
              <w:t>100% obciążenia modułu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10.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baterii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szczelne, bezobsługowe typu VRLA AGM, o żywotności 10-12</w:t>
            </w:r>
            <w:r w:rsidR="008E64D8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lat zgodnie z </w:t>
            </w:r>
            <w:r w:rsidRPr="00A057ED">
              <w:rPr>
                <w:rFonts w:ascii="Garamond" w:hAnsi="Garamond"/>
                <w:color w:val="000000"/>
                <w:lang w:eastAsia="pl-PL"/>
              </w:rPr>
              <w:t>EUROBAT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11.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Umiejscowienie baterii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stelaże bateryjne</w:t>
            </w:r>
            <w:r w:rsidR="005F0C2D">
              <w:rPr>
                <w:rFonts w:ascii="Garamond" w:hAnsi="Garamond"/>
                <w:color w:val="000000"/>
                <w:lang w:eastAsia="pl-PL"/>
              </w:rPr>
              <w:t>/szafy bateryjne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12.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Wydajność ładowarki bateryjnej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4A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13.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Sprawność przetwarzania w trybie TRUE ON-LINE z podwójną przemianą energii</w:t>
            </w:r>
          </w:p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95,5% dla 75% -100% obciąż.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95% dla 50%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94,5% przy 25% obciążenia   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14.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Zakres napięć wejściowych, kiedy energia jest pobierana z sieci a bateria jest doładowywana 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(-20%/+15%) 3x320/184 V  do 3x460/264 V  dla   ≤ 100 % obciążenia 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15.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Zakres częstotliwości wejściowej, kiedy energia jest pobierana z sieci a bateria jest doładowywana</w:t>
            </w:r>
          </w:p>
        </w:tc>
        <w:tc>
          <w:tcPr>
            <w:tcW w:w="4318" w:type="dxa"/>
            <w:vAlign w:val="center"/>
          </w:tcPr>
          <w:p w:rsidR="000F5D5F" w:rsidRPr="00F03157" w:rsidRDefault="00F03157" w:rsidP="000F5D5F">
            <w:pPr>
              <w:contextualSpacing/>
              <w:jc w:val="center"/>
              <w:rPr>
                <w:rFonts w:ascii="Garamond" w:hAnsi="Garamond"/>
                <w:b/>
                <w:color w:val="000000"/>
                <w:u w:val="single"/>
                <w:lang w:eastAsia="pl-PL"/>
              </w:rPr>
            </w:pPr>
            <w:r w:rsidRPr="00F03157">
              <w:rPr>
                <w:rFonts w:ascii="Garamond" w:hAnsi="Garamond"/>
                <w:b/>
                <w:color w:val="000000"/>
                <w:u w:val="single"/>
                <w:lang w:eastAsia="pl-PL"/>
              </w:rPr>
              <w:t>35</w:t>
            </w:r>
            <w:r w:rsidR="000F5D5F" w:rsidRPr="00F03157">
              <w:rPr>
                <w:rFonts w:ascii="Garamond" w:hAnsi="Garamond"/>
                <w:b/>
                <w:color w:val="000000"/>
                <w:u w:val="single"/>
                <w:lang w:eastAsia="pl-PL"/>
              </w:rPr>
              <w:t>-70Hz</w:t>
            </w:r>
          </w:p>
        </w:tc>
      </w:tr>
      <w:tr w:rsidR="000F5D5F" w:rsidRPr="000F5D5F" w:rsidTr="000F5D5F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16.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Wejściowy współczynnik mocy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cosφ</w:t>
            </w:r>
            <w:proofErr w:type="spellEnd"/>
          </w:p>
        </w:tc>
        <w:tc>
          <w:tcPr>
            <w:tcW w:w="4318" w:type="dxa"/>
            <w:vAlign w:val="center"/>
          </w:tcPr>
          <w:p w:rsidR="00732807" w:rsidRDefault="00732807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223C51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dla obciążenia </w:t>
            </w:r>
            <w:r w:rsidR="000F5D5F" w:rsidRPr="000F5D5F">
              <w:rPr>
                <w:rFonts w:ascii="Garamond" w:hAnsi="Garamond"/>
                <w:color w:val="000000"/>
                <w:lang w:eastAsia="pl-PL"/>
              </w:rPr>
              <w:t>100% ≥ 0,99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0F5D5F" w:rsidRPr="000F5D5F" w:rsidTr="000F5D5F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17.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Wejściowe harmoniczne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THDi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w funkcji obciążenia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 3,0% przy 100%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223C51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18.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Prąd rozruchu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Ograniczony przez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soft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start do wartości prądu znamionowego,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Iroz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= In</w:t>
            </w:r>
          </w:p>
        </w:tc>
      </w:tr>
      <w:tr w:rsidR="000F5D5F" w:rsidRPr="000F5D5F" w:rsidTr="000F5D5F">
        <w:trPr>
          <w:cantSplit/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</w:t>
            </w:r>
            <w:r w:rsidR="00223C51">
              <w:rPr>
                <w:rFonts w:ascii="Garamond" w:hAnsi="Garamond"/>
                <w:color w:val="000000"/>
                <w:lang w:eastAsia="pl-PL"/>
              </w:rPr>
              <w:t>9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29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Stabilność napięcia wyjściowego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 ± 1% dla stanu ustalonego obciążenia</w:t>
            </w:r>
          </w:p>
        </w:tc>
      </w:tr>
      <w:tr w:rsidR="000F5D5F" w:rsidRPr="000F5D5F" w:rsidTr="000F5D5F">
        <w:trPr>
          <w:cantSplit/>
          <w:trHeight w:val="135"/>
          <w:jc w:val="center"/>
        </w:trPr>
        <w:tc>
          <w:tcPr>
            <w:tcW w:w="669" w:type="dxa"/>
            <w:vMerge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29" w:type="dxa"/>
            <w:vMerge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± 4% dla skoku obciążenia 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100%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0%</w:t>
            </w:r>
          </w:p>
        </w:tc>
      </w:tr>
      <w:tr w:rsidR="000F5D5F" w:rsidRPr="000F5D5F" w:rsidTr="000F5D5F">
        <w:trPr>
          <w:cantSplit/>
          <w:trHeight w:val="278"/>
          <w:jc w:val="center"/>
        </w:trPr>
        <w:tc>
          <w:tcPr>
            <w:tcW w:w="669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20.</w:t>
            </w:r>
          </w:p>
        </w:tc>
        <w:tc>
          <w:tcPr>
            <w:tcW w:w="4329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Zawartość harmonicznych w napięciu wyjściowym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≤1,5% dla obciążenia liniowego</w:t>
            </w:r>
          </w:p>
        </w:tc>
      </w:tr>
      <w:tr w:rsidR="000F5D5F" w:rsidRPr="000F5D5F" w:rsidTr="000F5D5F">
        <w:trPr>
          <w:cantSplit/>
          <w:trHeight w:val="277"/>
          <w:jc w:val="center"/>
        </w:trPr>
        <w:tc>
          <w:tcPr>
            <w:tcW w:w="669" w:type="dxa"/>
            <w:vMerge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29" w:type="dxa"/>
            <w:vMerge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≤3% dla obciążenia nieliniowego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21.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Przeciążalność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125% przez 1 minut</w:t>
            </w:r>
            <w:r w:rsidR="00223C51">
              <w:rPr>
                <w:rFonts w:ascii="Garamond" w:hAnsi="Garamond"/>
                <w:color w:val="000000"/>
                <w:lang w:eastAsia="pl-PL"/>
              </w:rPr>
              <w:t>ę</w:t>
            </w:r>
          </w:p>
          <w:p w:rsidR="000F5D5F" w:rsidRPr="000F5D5F" w:rsidRDefault="000F5D5F" w:rsidP="005F0C2D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150% przez </w:t>
            </w:r>
            <w:r w:rsidR="005F0C2D">
              <w:rPr>
                <w:rFonts w:ascii="Garamond" w:hAnsi="Garamond"/>
                <w:color w:val="000000"/>
                <w:lang w:eastAsia="pl-PL"/>
              </w:rPr>
              <w:t>5</w:t>
            </w:r>
            <w:r w:rsidR="005F0C2D"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 w:rsidR="00223C51">
              <w:rPr>
                <w:rFonts w:ascii="Garamond" w:hAnsi="Garamond"/>
                <w:color w:val="000000"/>
                <w:lang w:eastAsia="pl-PL"/>
              </w:rPr>
              <w:t>sekund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22.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Współczynnik szczytu (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crest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factor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>)</w:t>
            </w:r>
          </w:p>
        </w:tc>
        <w:tc>
          <w:tcPr>
            <w:tcW w:w="4318" w:type="dxa"/>
            <w:vAlign w:val="center"/>
          </w:tcPr>
          <w:p w:rsidR="000F5D5F" w:rsidRPr="000F5D5F" w:rsidRDefault="00223C51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2,5</w:t>
            </w:r>
            <w:r w:rsidR="000F5D5F" w:rsidRPr="000F5D5F">
              <w:rPr>
                <w:rFonts w:ascii="Garamond" w:hAnsi="Garamond"/>
                <w:color w:val="000000"/>
                <w:lang w:eastAsia="pl-PL"/>
              </w:rPr>
              <w:t>:1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23.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Zdolność zwarciowa (RMS)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tabs>
                <w:tab w:val="right" w:pos="5344"/>
              </w:tabs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Falownik: 3 x In przez 40</w:t>
            </w:r>
            <w:r w:rsidR="00223C51">
              <w:rPr>
                <w:rFonts w:ascii="Garamond" w:hAnsi="Garamond"/>
                <w:color w:val="000000"/>
                <w:lang w:eastAsia="pl-PL"/>
              </w:rPr>
              <w:t>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br/>
              <w:t>Bypass:   10 x In przez   20 ms</w:t>
            </w:r>
          </w:p>
        </w:tc>
      </w:tr>
      <w:tr w:rsidR="000F5D5F" w:rsidRPr="000F5D5F" w:rsidTr="000F5D5F">
        <w:trPr>
          <w:jc w:val="center"/>
        </w:trPr>
        <w:tc>
          <w:tcPr>
            <w:tcW w:w="669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24.</w:t>
            </w:r>
          </w:p>
        </w:tc>
        <w:tc>
          <w:tcPr>
            <w:tcW w:w="4329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Menu w panelu sterowniczym</w:t>
            </w:r>
          </w:p>
        </w:tc>
        <w:tc>
          <w:tcPr>
            <w:tcW w:w="4318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 jęz. polskim</w:t>
            </w:r>
          </w:p>
        </w:tc>
      </w:tr>
    </w:tbl>
    <w:p w:rsidR="000F5D5F" w:rsidRPr="000F5D5F" w:rsidRDefault="000F5D5F" w:rsidP="000F5D5F">
      <w:pPr>
        <w:contextualSpacing/>
        <w:rPr>
          <w:rFonts w:ascii="Garamond" w:hAnsi="Garamond"/>
          <w:color w:val="000000"/>
          <w:lang w:eastAsia="pl-PL"/>
        </w:rPr>
      </w:pPr>
    </w:p>
    <w:p w:rsidR="000F5D5F" w:rsidRDefault="002445BB" w:rsidP="000F5D5F">
      <w:pPr>
        <w:contextualSpacing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Montaż nowego UPS-a będzie możliwy po zdemontowaniu starego UPS-a oraz jego utylizacji. </w:t>
      </w:r>
    </w:p>
    <w:p w:rsidR="005F0C2D" w:rsidRPr="000F5D5F" w:rsidRDefault="005F0C2D" w:rsidP="000F5D5F">
      <w:pPr>
        <w:contextualSpacing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Utylizacja starych baterii leży po stronie Wykonawcy.</w:t>
      </w:r>
    </w:p>
    <w:p w:rsidR="000F5D5F" w:rsidRDefault="002445BB" w:rsidP="000F5D5F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Zamawiający posiada niesprawny UPS </w:t>
      </w:r>
      <w:r w:rsidR="00A527D9">
        <w:rPr>
          <w:rFonts w:ascii="Garamond" w:hAnsi="Garamond"/>
        </w:rPr>
        <w:t>firmy GE DIGITAL ENERGY Site Pro, 80 kVA z 2003 roku.</w:t>
      </w:r>
      <w:r>
        <w:rPr>
          <w:rFonts w:ascii="Garamond" w:hAnsi="Garamond"/>
        </w:rPr>
        <w:t xml:space="preserve"> Zamawiający informuje, że w </w:t>
      </w:r>
      <w:r w:rsidR="00A527D9">
        <w:rPr>
          <w:rFonts w:ascii="Garamond" w:hAnsi="Garamond"/>
        </w:rPr>
        <w:t xml:space="preserve">2017 roku </w:t>
      </w:r>
      <w:r>
        <w:rPr>
          <w:rFonts w:ascii="Garamond" w:hAnsi="Garamond"/>
        </w:rPr>
        <w:t xml:space="preserve">dokonano wymiany </w:t>
      </w:r>
      <w:r w:rsidR="00A527D9">
        <w:rPr>
          <w:rFonts w:ascii="Garamond" w:hAnsi="Garamond"/>
        </w:rPr>
        <w:t>w obecnie niesprawnym UPS-</w:t>
      </w:r>
      <w:proofErr w:type="spellStart"/>
      <w:r w:rsidR="00A527D9">
        <w:rPr>
          <w:rFonts w:ascii="Garamond" w:hAnsi="Garamond"/>
        </w:rPr>
        <w:t>ie</w:t>
      </w:r>
      <w:proofErr w:type="spellEnd"/>
      <w:r w:rsidR="00A527D9">
        <w:rPr>
          <w:rFonts w:ascii="Garamond" w:hAnsi="Garamond"/>
        </w:rPr>
        <w:t xml:space="preserve"> </w:t>
      </w:r>
      <w:r>
        <w:rPr>
          <w:rFonts w:ascii="Garamond" w:hAnsi="Garamond"/>
        </w:rPr>
        <w:t>32 akumulatorów</w:t>
      </w:r>
      <w:r w:rsidR="00A527D9">
        <w:rPr>
          <w:rFonts w:ascii="Garamond" w:hAnsi="Garamond"/>
        </w:rPr>
        <w:t xml:space="preserve"> (MWP 150-12B, 12V, 150Ah)</w:t>
      </w:r>
      <w:r>
        <w:rPr>
          <w:rFonts w:ascii="Garamond" w:hAnsi="Garamond"/>
        </w:rPr>
        <w:t xml:space="preserve">. </w:t>
      </w:r>
    </w:p>
    <w:p w:rsidR="00F03157" w:rsidRPr="00F03157" w:rsidRDefault="00F03157" w:rsidP="000F5D5F">
      <w:pPr>
        <w:contextualSpacing/>
        <w:rPr>
          <w:rFonts w:ascii="Garamond" w:hAnsi="Garamond"/>
          <w:b/>
          <w:u w:val="single"/>
        </w:rPr>
      </w:pPr>
      <w:r w:rsidRPr="00F03157">
        <w:rPr>
          <w:rFonts w:ascii="Garamond" w:hAnsi="Garamond"/>
          <w:b/>
          <w:u w:val="single"/>
        </w:rPr>
        <w:t xml:space="preserve">Instalacja elektryczna ma być przystosowana do 120 </w:t>
      </w:r>
      <w:proofErr w:type="spellStart"/>
      <w:r w:rsidRPr="00F03157">
        <w:rPr>
          <w:rFonts w:ascii="Garamond" w:hAnsi="Garamond"/>
          <w:b/>
          <w:u w:val="single"/>
        </w:rPr>
        <w:t>kW.</w:t>
      </w:r>
      <w:proofErr w:type="spellEnd"/>
    </w:p>
    <w:p w:rsidR="000F5D5F" w:rsidRDefault="000F5D5F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0F5D5F" w:rsidRDefault="000F5D5F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706CE3" w:rsidRDefault="00706CE3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A057ED" w:rsidRDefault="00A057ED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A057ED" w:rsidRDefault="00A057ED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0F5D5F" w:rsidRDefault="000F5D5F" w:rsidP="000F5D5F">
      <w:pPr>
        <w:spacing w:after="222"/>
        <w:ind w:left="20"/>
        <w:contextualSpacing/>
        <w:rPr>
          <w:rFonts w:ascii="Garamond" w:hAnsi="Garamond"/>
          <w:b/>
        </w:rPr>
      </w:pPr>
    </w:p>
    <w:p w:rsidR="006D582A" w:rsidRDefault="006D582A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F3059F" w:rsidRDefault="00F3059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p w:rsidR="00F03157" w:rsidRPr="000F5D5F" w:rsidRDefault="00F03157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0F5D5F" w:rsidTr="000F5D5F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2B6D88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Nr telefonu:</w:t>
            </w:r>
            <w:r w:rsidR="006D582A" w:rsidRPr="000F5D5F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0F5D5F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F03157" w:rsidRDefault="00F03157" w:rsidP="000F5D5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0F5D5F" w:rsidRDefault="000F5D5F" w:rsidP="000F5D5F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0F5D5F" w:rsidRDefault="000F5D5F" w:rsidP="00F03157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F03157" w:rsidRPr="000F5D5F" w:rsidRDefault="00F03157" w:rsidP="00F03157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>NZ-240-</w:t>
      </w:r>
      <w:r w:rsidR="00535704">
        <w:rPr>
          <w:rFonts w:ascii="Garamond" w:hAnsi="Garamond"/>
          <w:color w:val="000000"/>
        </w:rPr>
        <w:t>59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F5D5F" w:rsidRPr="000F5D5F" w:rsidTr="000F5D5F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0F5D5F">
              <w:rPr>
                <w:rFonts w:ascii="Garamond" w:hAnsi="Garamond"/>
                <w:b/>
              </w:rPr>
              <w:t>Dostawę wraz z instalacją jednego urządzenia UPS 80 – 120 kW</w:t>
            </w:r>
          </w:p>
        </w:tc>
      </w:tr>
    </w:tbl>
    <w:p w:rsid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F03157" w:rsidRPr="000F5D5F" w:rsidRDefault="00F03157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F5D5F" w:rsidRP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2908CC" w:rsidRDefault="000F5D5F" w:rsidP="00F03157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Oferujemy wykonanie przedmiotowego zamówienia, określonego w specyfikacji istotnych warunków zamówienia za cenę brutto: ……………………………złotych </w:t>
      </w:r>
      <w:r w:rsidR="00241108">
        <w:rPr>
          <w:rFonts w:ascii="Garamond" w:hAnsi="Garamond"/>
        </w:rPr>
        <w:t xml:space="preserve"> (słownie:…………………………….. złotych) </w:t>
      </w:r>
      <w:r w:rsidRPr="000F5D5F">
        <w:rPr>
          <w:rFonts w:ascii="Garamond" w:hAnsi="Garamond"/>
        </w:rPr>
        <w:t>i o poniższych parametrach.</w:t>
      </w:r>
    </w:p>
    <w:p w:rsidR="00F03157" w:rsidRPr="00F03157" w:rsidRDefault="00F03157" w:rsidP="00F03157">
      <w:pPr>
        <w:autoSpaceDE w:val="0"/>
        <w:autoSpaceDN w:val="0"/>
        <w:spacing w:after="120"/>
        <w:ind w:left="284"/>
        <w:contextualSpacing/>
        <w:jc w:val="both"/>
        <w:rPr>
          <w:rFonts w:ascii="Garamond" w:hAnsi="Garamond"/>
        </w:rPr>
      </w:pPr>
    </w:p>
    <w:tbl>
      <w:tblPr>
        <w:tblW w:w="0" w:type="auto"/>
        <w:jc w:val="center"/>
        <w:tblInd w:w="-2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893"/>
        <w:gridCol w:w="2977"/>
        <w:gridCol w:w="2777"/>
      </w:tblGrid>
      <w:tr w:rsidR="002908CC" w:rsidRPr="007B60F2" w:rsidTr="007B60F2">
        <w:trPr>
          <w:trHeight w:val="829"/>
          <w:jc w:val="center"/>
        </w:trPr>
        <w:tc>
          <w:tcPr>
            <w:tcW w:w="669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L.P.</w:t>
            </w: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2893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Opis</w:t>
            </w:r>
          </w:p>
        </w:tc>
        <w:tc>
          <w:tcPr>
            <w:tcW w:w="2977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Wymagane parametry</w:t>
            </w: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2777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7B60F2" w:rsidRPr="007B60F2" w:rsidRDefault="007B60F2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</w:rPr>
            </w:pPr>
            <w:r w:rsidRPr="007B60F2">
              <w:rPr>
                <w:rFonts w:ascii="Garamond" w:hAnsi="Garamond"/>
                <w:b/>
              </w:rPr>
              <w:t>Potwierdzenie</w:t>
            </w:r>
          </w:p>
          <w:p w:rsidR="002908CC" w:rsidRPr="007B60F2" w:rsidRDefault="007B60F2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i/>
              </w:rPr>
            </w:pPr>
            <w:r w:rsidRPr="007B60F2">
              <w:rPr>
                <w:rFonts w:ascii="Garamond" w:hAnsi="Garamond"/>
                <w:b/>
                <w:i/>
              </w:rPr>
              <w:t>(TAK / NIE lub wartość)</w:t>
            </w: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wykonania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UPS VFI SS 111</w:t>
            </w:r>
          </w:p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zgodnie z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PN-EN 62040-3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modułowa, redundancja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konstrukcja modułowa zapewniająca naprawę systemu redundantnego poprzez wymianę modułu UPS 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3.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Nie może być pojedynczego punktu awarii od którego zależy działanie całego systemu UPS</w:t>
            </w:r>
          </w:p>
        </w:tc>
        <w:tc>
          <w:tcPr>
            <w:tcW w:w="2977" w:type="dxa"/>
            <w:vAlign w:val="center"/>
          </w:tcPr>
          <w:p w:rsidR="00896C11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każdy moduł ma własny następujące elementy: prostownik, falownik  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Zasilanie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5.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Napięcie wyjściowe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6.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Nominalna moc pozorna modułów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 20kVA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7.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Wyjściowy współczynnik mocy cos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6A"/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1,0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8.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System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mini. 2 łańcuchy bateryjne dla całego systemu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9.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Czas podtrzymania dla każdego modułu UPS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 minut dla </w:t>
            </w:r>
            <w:r>
              <w:rPr>
                <w:rFonts w:ascii="Garamond" w:hAnsi="Garamond"/>
                <w:color w:val="000000"/>
                <w:lang w:eastAsia="pl-PL"/>
              </w:rPr>
              <w:t>100% obciążenia modułu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10.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szczelne, bezobsługowe typu VRLA AGM, o żywotności 10-12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lat zgodnie z </w:t>
            </w:r>
            <w:r w:rsidRPr="00A057ED">
              <w:rPr>
                <w:rFonts w:ascii="Garamond" w:hAnsi="Garamond"/>
                <w:color w:val="000000"/>
                <w:lang w:eastAsia="pl-PL"/>
              </w:rPr>
              <w:t>EUROBAT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11.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Umiejscowienie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stelaże bateryjne</w:t>
            </w:r>
            <w:r>
              <w:rPr>
                <w:rFonts w:ascii="Garamond" w:hAnsi="Garamond"/>
                <w:color w:val="000000"/>
                <w:lang w:eastAsia="pl-PL"/>
              </w:rPr>
              <w:t>/szafy bateryjne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12.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Wydajność ładowarki bateryjnej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4A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13.</w:t>
            </w:r>
          </w:p>
        </w:tc>
        <w:tc>
          <w:tcPr>
            <w:tcW w:w="2893" w:type="dxa"/>
            <w:vAlign w:val="center"/>
          </w:tcPr>
          <w:p w:rsidR="00896C11" w:rsidRPr="000F5D5F" w:rsidRDefault="00896C11" w:rsidP="00500F02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Sprawność przetwarzania w trybie TRUE ON-LINE z podwójną przemianą energii</w:t>
            </w:r>
          </w:p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95,5% dla 75% -100% obciąż.</w:t>
            </w:r>
          </w:p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95% dla 50% obciążenia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94,5% przy 25% obciążenia   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Zakres napięć wejściowych, kiedy energia jest pobierana z sieci a bateria jest doładowywana 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(-20%/+15%) 3x320/184 V  do 3x460/264 V  dla   ≤ 100 % obciążenia 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15.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Zakres częstotliwości wejściowej, kiedy energia jest pobierana z sieci a bateria jest doładowywana</w:t>
            </w:r>
          </w:p>
        </w:tc>
        <w:tc>
          <w:tcPr>
            <w:tcW w:w="2977" w:type="dxa"/>
            <w:vAlign w:val="center"/>
          </w:tcPr>
          <w:p w:rsidR="00896C11" w:rsidRPr="00F03157" w:rsidRDefault="00F03157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u w:val="single"/>
                <w:lang w:eastAsia="pl-PL"/>
              </w:rPr>
            </w:pPr>
            <w:r w:rsidRPr="00F03157">
              <w:rPr>
                <w:rFonts w:ascii="Garamond" w:hAnsi="Garamond"/>
                <w:b/>
                <w:color w:val="000000"/>
                <w:u w:val="single"/>
                <w:lang w:eastAsia="pl-PL"/>
              </w:rPr>
              <w:t>35</w:t>
            </w:r>
            <w:r w:rsidR="00896C11" w:rsidRPr="00F03157">
              <w:rPr>
                <w:rFonts w:ascii="Garamond" w:hAnsi="Garamond"/>
                <w:b/>
                <w:color w:val="000000"/>
                <w:u w:val="single"/>
                <w:lang w:eastAsia="pl-PL"/>
              </w:rPr>
              <w:t>-70Hz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16.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Wejściowy współczynnik mocy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cosφ</w:t>
            </w:r>
            <w:proofErr w:type="spellEnd"/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dla obciążenia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100% ≥ 0,99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17.</w:t>
            </w:r>
          </w:p>
        </w:tc>
        <w:tc>
          <w:tcPr>
            <w:tcW w:w="2893" w:type="dxa"/>
            <w:vAlign w:val="center"/>
          </w:tcPr>
          <w:p w:rsidR="00896C11" w:rsidRPr="000F5D5F" w:rsidRDefault="00896C11" w:rsidP="00500F02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Wejściowe harmoniczne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THDi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w funkcji obciążenia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 3,0% przy 100% obciążenia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18.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Prąd rozruchu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Ograniczony przez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soft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start do wartości prądu znamionowego,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Iroz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= In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19.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Stabilność napięcia wyjściowego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 ± 1% dla stanu ustalonego obciążenia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135"/>
          <w:jc w:val="center"/>
        </w:trPr>
        <w:tc>
          <w:tcPr>
            <w:tcW w:w="669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± 4% dla skoku obciążenia 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100%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0%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278"/>
          <w:jc w:val="center"/>
        </w:trPr>
        <w:tc>
          <w:tcPr>
            <w:tcW w:w="669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20.</w:t>
            </w:r>
          </w:p>
        </w:tc>
        <w:tc>
          <w:tcPr>
            <w:tcW w:w="2893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Zawartość harmonicznych w napięciu wyjściowym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≤1,5% dla obciążenia liniowego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277"/>
          <w:jc w:val="center"/>
        </w:trPr>
        <w:tc>
          <w:tcPr>
            <w:tcW w:w="669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≤3% dla obciążenia nieliniowego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21.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Przeciążalność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125% przez 1 minut</w:t>
            </w:r>
            <w:r>
              <w:rPr>
                <w:rFonts w:ascii="Garamond" w:hAnsi="Garamond"/>
                <w:color w:val="000000"/>
                <w:lang w:eastAsia="pl-PL"/>
              </w:rPr>
              <w:t>ę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150% przez </w:t>
            </w:r>
            <w:r>
              <w:rPr>
                <w:rFonts w:ascii="Garamond" w:hAnsi="Garamond"/>
                <w:color w:val="000000"/>
                <w:lang w:eastAsia="pl-PL"/>
              </w:rPr>
              <w:t>5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sekund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22.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Współczynnik szczytu (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crest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factor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>)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2,5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:1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23.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Zdolność zwarciowa (RMS)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tabs>
                <w:tab w:val="right" w:pos="5344"/>
              </w:tabs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Falownik: 3 x In przez 40</w:t>
            </w:r>
            <w:r>
              <w:rPr>
                <w:rFonts w:ascii="Garamond" w:hAnsi="Garamond"/>
                <w:color w:val="000000"/>
                <w:lang w:eastAsia="pl-PL"/>
              </w:rPr>
              <w:t>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br/>
              <w:t>Bypass:   10 x In przez   20 ms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tabs>
                <w:tab w:val="right" w:pos="5344"/>
              </w:tabs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Menu w panelu sterowniczym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 jęz. polskim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</w:tbl>
    <w:p w:rsidR="000F5D5F" w:rsidRPr="000F5D5F" w:rsidRDefault="000F5D5F" w:rsidP="000F5D5F">
      <w:pPr>
        <w:spacing w:after="0"/>
        <w:contextualSpacing/>
        <w:rPr>
          <w:rFonts w:ascii="Garamond" w:hAnsi="Garamond"/>
          <w:b/>
        </w:rPr>
      </w:pPr>
    </w:p>
    <w:p w:rsidR="00DC7493" w:rsidRPr="00535704" w:rsidRDefault="00DC7493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b/>
          <w:u w:val="single"/>
        </w:rPr>
      </w:pPr>
      <w:r w:rsidRPr="00535704">
        <w:rPr>
          <w:rFonts w:ascii="Garamond" w:hAnsi="Garamond"/>
          <w:b/>
          <w:u w:val="single"/>
        </w:rPr>
        <w:t xml:space="preserve">Udzielamy gwarancji </w:t>
      </w:r>
      <w:r w:rsidR="00802F72" w:rsidRPr="00535704">
        <w:rPr>
          <w:rFonts w:ascii="Garamond" w:hAnsi="Garamond"/>
          <w:b/>
          <w:u w:val="single"/>
        </w:rPr>
        <w:t xml:space="preserve">wraz z wykonaniem serwisów gwarancyjnych w ramach </w:t>
      </w:r>
      <w:r w:rsidR="00535704" w:rsidRPr="00535704">
        <w:rPr>
          <w:rFonts w:ascii="Garamond" w:hAnsi="Garamond"/>
          <w:b/>
          <w:u w:val="single"/>
        </w:rPr>
        <w:t>w/w</w:t>
      </w:r>
      <w:r w:rsidR="00802F72" w:rsidRPr="00535704">
        <w:rPr>
          <w:rFonts w:ascii="Garamond" w:hAnsi="Garamond"/>
          <w:b/>
          <w:u w:val="single"/>
        </w:rPr>
        <w:t xml:space="preserve"> kwoty </w:t>
      </w:r>
      <w:r w:rsidR="00535704" w:rsidRPr="00535704">
        <w:rPr>
          <w:rFonts w:ascii="Garamond" w:hAnsi="Garamond"/>
          <w:b/>
          <w:u w:val="single"/>
        </w:rPr>
        <w:t xml:space="preserve">na okres </w:t>
      </w:r>
      <w:r w:rsidRPr="00535704">
        <w:rPr>
          <w:rFonts w:ascii="Garamond" w:hAnsi="Garamond"/>
          <w:b/>
          <w:u w:val="single"/>
        </w:rPr>
        <w:t xml:space="preserve"> ……</w:t>
      </w:r>
      <w:r w:rsidR="00535704" w:rsidRPr="00535704">
        <w:rPr>
          <w:rFonts w:ascii="Garamond" w:hAnsi="Garamond"/>
          <w:b/>
          <w:u w:val="single"/>
        </w:rPr>
        <w:t xml:space="preserve"> lat</w:t>
      </w:r>
      <w:r w:rsidR="000F5D5F" w:rsidRPr="00535704">
        <w:rPr>
          <w:rFonts w:ascii="Garamond" w:hAnsi="Garamond"/>
          <w:b/>
          <w:u w:val="single"/>
        </w:rPr>
        <w:t xml:space="preserve"> </w:t>
      </w:r>
    </w:p>
    <w:p w:rsidR="000F5D5F" w:rsidRPr="000F5D5F" w:rsidRDefault="000F5D5F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Oświadczamy, że: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 xml:space="preserve">w terminie określonym w terminie </w:t>
      </w:r>
      <w:r w:rsidR="00241108">
        <w:rPr>
          <w:rFonts w:ascii="Garamond" w:eastAsia="Calibri" w:hAnsi="Garamond"/>
          <w:lang w:eastAsia="pl-PL"/>
        </w:rPr>
        <w:t xml:space="preserve">do </w:t>
      </w:r>
      <w:r w:rsidRPr="000F5D5F">
        <w:rPr>
          <w:rFonts w:ascii="Garamond" w:eastAsia="Calibri" w:hAnsi="Garamond"/>
          <w:lang w:eastAsia="pl-PL"/>
        </w:rPr>
        <w:t>4</w:t>
      </w:r>
      <w:r w:rsidR="00425F57">
        <w:rPr>
          <w:rFonts w:ascii="Garamond" w:eastAsia="Calibri" w:hAnsi="Garamond"/>
          <w:lang w:eastAsia="pl-PL"/>
        </w:rPr>
        <w:t>0</w:t>
      </w:r>
      <w:r w:rsidRPr="000F5D5F">
        <w:rPr>
          <w:rFonts w:ascii="Garamond" w:eastAsia="Calibri" w:hAnsi="Garamond"/>
          <w:lang w:eastAsia="pl-PL"/>
        </w:rPr>
        <w:t xml:space="preserve"> dni od dnia zawarcia umowy.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F5D5F" w:rsidRPr="000F5D5F" w:rsidRDefault="003C2DCF" w:rsidP="00FD778B">
      <w:pPr>
        <w:numPr>
          <w:ilvl w:val="0"/>
          <w:numId w:val="2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="000F5D5F" w:rsidRPr="000F5D5F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="000F5D5F" w:rsidRPr="000F5D5F">
        <w:rPr>
          <w:rFonts w:ascii="Garamond" w:hAnsi="Garamond"/>
        </w:rPr>
        <w:t>i nie mogą być ujawniane pozostałym uczestnikom postępowania (</w:t>
      </w:r>
      <w:r w:rsidR="000F5D5F" w:rsidRPr="000F5D5F">
        <w:rPr>
          <w:rFonts w:ascii="Garamond" w:hAnsi="Garamond"/>
          <w:i/>
        </w:rPr>
        <w:t>wypełnić jeśli dotyczy</w:t>
      </w:r>
      <w:r w:rsidR="000F5D5F" w:rsidRPr="000F5D5F">
        <w:rPr>
          <w:rFonts w:ascii="Garamond" w:hAnsi="Garamond"/>
        </w:rPr>
        <w:t>)</w:t>
      </w:r>
      <w:r w:rsidR="000F5D5F" w:rsidRPr="000F5D5F">
        <w:rPr>
          <w:rFonts w:ascii="Garamond" w:hAnsi="Garamond"/>
          <w:lang w:eastAsia="pl-PL"/>
        </w:rPr>
        <w:t xml:space="preserve">.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0F5D5F" w:rsidRPr="000F5D5F" w:rsidRDefault="000F5D5F" w:rsidP="000F5D5F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F5D5F" w:rsidRPr="000F5D5F" w:rsidTr="000F5D5F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41108" w:rsidTr="00241108">
        <w:trPr>
          <w:trHeight w:val="342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241108" w:rsidRPr="00241108" w:rsidRDefault="00241108" w:rsidP="0024110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241108" w:rsidTr="00241108">
        <w:trPr>
          <w:trHeight w:val="506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241108" w:rsidRDefault="00241108">
            <w:pPr>
              <w:spacing w:after="0" w:line="240" w:lineRule="auto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241108" w:rsidRPr="000F5D5F" w:rsidRDefault="00241108" w:rsidP="00241108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0F5D5F" w:rsidRPr="000F5D5F" w:rsidRDefault="000F5D5F" w:rsidP="000F5D5F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0F5D5F" w:rsidRPr="000F5D5F" w:rsidRDefault="000F5D5F" w:rsidP="000F5D5F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0F5D5F" w:rsidRPr="000F5D5F" w:rsidRDefault="000F5D5F" w:rsidP="00FD778B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Pr="000F5D5F" w:rsidRDefault="000F5D5F" w:rsidP="00FD778B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0F5D5F" w:rsidRP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6D582A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6D582A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0F5D5F" w:rsidRPr="002755DD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F3059F" w:rsidRPr="00F3059F" w:rsidRDefault="00F3059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241108" w:rsidSect="00F32AC1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1D" w:rsidRDefault="0006141D">
      <w:r>
        <w:separator/>
      </w:r>
    </w:p>
  </w:endnote>
  <w:endnote w:type="continuationSeparator" w:id="0">
    <w:p w:rsidR="0006141D" w:rsidRDefault="0006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7D5" w:rsidRDefault="004F47D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Stopka"/>
      <w:framePr w:wrap="around" w:vAnchor="text" w:hAnchor="margin" w:xAlign="right" w:y="1"/>
      <w:rPr>
        <w:rStyle w:val="Numerstrony"/>
      </w:rPr>
    </w:pPr>
  </w:p>
  <w:p w:rsidR="004F47D5" w:rsidRPr="0050015F" w:rsidRDefault="004F47D5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F03157"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F03157"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1D" w:rsidRDefault="0006141D">
      <w:r>
        <w:separator/>
      </w:r>
    </w:p>
  </w:footnote>
  <w:footnote w:type="continuationSeparator" w:id="0">
    <w:p w:rsidR="0006141D" w:rsidRDefault="0006141D">
      <w:r>
        <w:continuationSeparator/>
      </w:r>
    </w:p>
  </w:footnote>
  <w:footnote w:id="1">
    <w:p w:rsidR="004F47D5" w:rsidRDefault="004F47D5" w:rsidP="000F5D5F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4F47D5" w:rsidRPr="00235E72" w:rsidRDefault="004F47D5" w:rsidP="000F5D5F">
      <w:pPr>
        <w:pStyle w:val="Tekstprzypisudolnego"/>
        <w:rPr>
          <w:rFonts w:ascii="Garamond" w:hAnsi="Garamond"/>
          <w:sz w:val="14"/>
          <w:szCs w:val="14"/>
        </w:rPr>
      </w:pPr>
    </w:p>
    <w:p w:rsidR="004F47D5" w:rsidRPr="00093494" w:rsidRDefault="004F47D5" w:rsidP="000F5D5F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4F47D5" w:rsidRPr="00093494" w:rsidRDefault="004F47D5" w:rsidP="000F5D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7D5" w:rsidRDefault="004F47D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Nagwek"/>
      <w:framePr w:wrap="around" w:vAnchor="text" w:hAnchor="margin" w:xAlign="right" w:y="1"/>
      <w:rPr>
        <w:rStyle w:val="Numerstrony"/>
      </w:rPr>
    </w:pPr>
  </w:p>
  <w:p w:rsidR="004F47D5" w:rsidRDefault="004F47D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B13D2A"/>
    <w:multiLevelType w:val="multilevel"/>
    <w:tmpl w:val="63F8C0F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3" w:hanging="360"/>
      </w:pPr>
      <w:rPr>
        <w:rFonts w:ascii="Garamond" w:hAnsi="Garamond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7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64" w:hanging="1800"/>
      </w:pPr>
      <w:rPr>
        <w:rFonts w:hint="default"/>
      </w:rPr>
    </w:lvl>
  </w:abstractNum>
  <w:abstractNum w:abstractNumId="5">
    <w:nsid w:val="01530375"/>
    <w:multiLevelType w:val="hybridMultilevel"/>
    <w:tmpl w:val="97DEA214"/>
    <w:lvl w:ilvl="0" w:tplc="5D284B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1A781C"/>
    <w:multiLevelType w:val="hybridMultilevel"/>
    <w:tmpl w:val="1A64E3F8"/>
    <w:lvl w:ilvl="0" w:tplc="16A87D62">
      <w:start w:val="2"/>
      <w:numFmt w:val="decimal"/>
      <w:lvlText w:val="%1."/>
      <w:lvlJc w:val="left"/>
      <w:pPr>
        <w:tabs>
          <w:tab w:val="num" w:pos="357"/>
        </w:tabs>
        <w:ind w:left="35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0">
    <w:nsid w:val="07B566E3"/>
    <w:multiLevelType w:val="multilevel"/>
    <w:tmpl w:val="C8888804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1">
    <w:nsid w:val="08030474"/>
    <w:multiLevelType w:val="hybridMultilevel"/>
    <w:tmpl w:val="D8E42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30BDB"/>
    <w:multiLevelType w:val="hybridMultilevel"/>
    <w:tmpl w:val="EE444D22"/>
    <w:lvl w:ilvl="0" w:tplc="CB4005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B0EAB"/>
    <w:multiLevelType w:val="hybridMultilevel"/>
    <w:tmpl w:val="213C8682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52005E0A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14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5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B820F55"/>
    <w:multiLevelType w:val="multilevel"/>
    <w:tmpl w:val="F600EFA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0">
    <w:nsid w:val="1BB06811"/>
    <w:multiLevelType w:val="hybridMultilevel"/>
    <w:tmpl w:val="EA3A7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3CF6F80"/>
    <w:multiLevelType w:val="hybridMultilevel"/>
    <w:tmpl w:val="A394E6B4"/>
    <w:lvl w:ilvl="0" w:tplc="EFC041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D72CC"/>
    <w:multiLevelType w:val="hybridMultilevel"/>
    <w:tmpl w:val="8E781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7">
    <w:nsid w:val="2783075A"/>
    <w:multiLevelType w:val="hybridMultilevel"/>
    <w:tmpl w:val="D0D62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5A1072"/>
    <w:multiLevelType w:val="hybridMultilevel"/>
    <w:tmpl w:val="C98C7DA4"/>
    <w:lvl w:ilvl="0" w:tplc="91B8D3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Garamond" w:hAnsi="Garamond" w:hint="default"/>
        <w:b w:val="0"/>
        <w:i w:val="0"/>
        <w:sz w:val="20"/>
        <w:szCs w:val="20"/>
      </w:rPr>
    </w:lvl>
    <w:lvl w:ilvl="1" w:tplc="5F107E5E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6E235A6"/>
    <w:multiLevelType w:val="hybridMultilevel"/>
    <w:tmpl w:val="C6A0A6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DE1EA2">
      <w:start w:val="2"/>
      <w:numFmt w:val="bullet"/>
      <w:lvlText w:val=""/>
      <w:lvlJc w:val="left"/>
      <w:pPr>
        <w:tabs>
          <w:tab w:val="num" w:pos="1231"/>
        </w:tabs>
        <w:ind w:left="1231" w:hanging="511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D470080"/>
    <w:multiLevelType w:val="multilevel"/>
    <w:tmpl w:val="AA8C2ACE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150B9D"/>
    <w:multiLevelType w:val="hybridMultilevel"/>
    <w:tmpl w:val="844CE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3A447C"/>
    <w:multiLevelType w:val="multilevel"/>
    <w:tmpl w:val="06A6503A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41">
    <w:nsid w:val="4CE377F2"/>
    <w:multiLevelType w:val="hybridMultilevel"/>
    <w:tmpl w:val="7BBC6CAE"/>
    <w:lvl w:ilvl="0" w:tplc="5838E9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30E4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6">
    <w:nsid w:val="51E50B01"/>
    <w:multiLevelType w:val="multilevel"/>
    <w:tmpl w:val="9BF8EC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7">
    <w:nsid w:val="52D21544"/>
    <w:multiLevelType w:val="hybridMultilevel"/>
    <w:tmpl w:val="1A64E3F8"/>
    <w:lvl w:ilvl="0" w:tplc="16A87D62">
      <w:start w:val="2"/>
      <w:numFmt w:val="decimal"/>
      <w:lvlText w:val="%1."/>
      <w:lvlJc w:val="left"/>
      <w:pPr>
        <w:tabs>
          <w:tab w:val="num" w:pos="357"/>
        </w:tabs>
        <w:ind w:left="35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0A02C32"/>
    <w:multiLevelType w:val="hybridMultilevel"/>
    <w:tmpl w:val="6CEABA9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4">
    <w:nsid w:val="62FE6E3D"/>
    <w:multiLevelType w:val="hybridMultilevel"/>
    <w:tmpl w:val="B5CE3D9C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55">
    <w:nsid w:val="67A742FE"/>
    <w:multiLevelType w:val="multilevel"/>
    <w:tmpl w:val="BD0CF338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6">
    <w:nsid w:val="6C1A6384"/>
    <w:multiLevelType w:val="hybridMultilevel"/>
    <w:tmpl w:val="F6DCE576"/>
    <w:lvl w:ilvl="0" w:tplc="727685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9A7FA3"/>
    <w:multiLevelType w:val="multilevel"/>
    <w:tmpl w:val="EA44D8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8">
    <w:nsid w:val="728F37F4"/>
    <w:multiLevelType w:val="hybridMultilevel"/>
    <w:tmpl w:val="F4BC92C6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9B1190"/>
    <w:multiLevelType w:val="hybridMultilevel"/>
    <w:tmpl w:val="A536AF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114A36"/>
    <w:multiLevelType w:val="hybridMultilevel"/>
    <w:tmpl w:val="294E0EE8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CD6279"/>
    <w:multiLevelType w:val="hybridMultilevel"/>
    <w:tmpl w:val="9508EA7E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52005E0A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6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6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5"/>
  </w:num>
  <w:num w:numId="6">
    <w:abstractNumId w:val="21"/>
  </w:num>
  <w:num w:numId="7">
    <w:abstractNumId w:val="62"/>
  </w:num>
  <w:num w:numId="8">
    <w:abstractNumId w:val="16"/>
  </w:num>
  <w:num w:numId="9">
    <w:abstractNumId w:val="42"/>
  </w:num>
  <w:num w:numId="10">
    <w:abstractNumId w:val="29"/>
  </w:num>
  <w:num w:numId="11">
    <w:abstractNumId w:val="38"/>
  </w:num>
  <w:num w:numId="12">
    <w:abstractNumId w:val="49"/>
  </w:num>
  <w:num w:numId="13">
    <w:abstractNumId w:val="0"/>
  </w:num>
  <w:num w:numId="14">
    <w:abstractNumId w:val="50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2"/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26"/>
  </w:num>
  <w:num w:numId="20">
    <w:abstractNumId w:val="14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18"/>
  </w:num>
  <w:num w:numId="25">
    <w:abstractNumId w:val="31"/>
  </w:num>
  <w:num w:numId="26">
    <w:abstractNumId w:val="51"/>
  </w:num>
  <w:num w:numId="27">
    <w:abstractNumId w:val="19"/>
  </w:num>
  <w:num w:numId="28">
    <w:abstractNumId w:val="55"/>
  </w:num>
  <w:num w:numId="29">
    <w:abstractNumId w:val="12"/>
  </w:num>
  <w:num w:numId="30">
    <w:abstractNumId w:val="4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46"/>
  </w:num>
  <w:num w:numId="48">
    <w:abstractNumId w:val="57"/>
  </w:num>
  <w:num w:numId="49">
    <w:abstractNumId w:val="10"/>
  </w:num>
  <w:num w:numId="50">
    <w:abstractNumId w:val="40"/>
  </w:num>
  <w:num w:numId="51">
    <w:abstractNumId w:val="34"/>
  </w:num>
  <w:num w:numId="52">
    <w:abstractNumId w:val="20"/>
  </w:num>
  <w:num w:numId="53">
    <w:abstractNumId w:val="8"/>
  </w:num>
  <w:num w:numId="54">
    <w:abstractNumId w:val="37"/>
  </w:num>
  <w:num w:numId="55">
    <w:abstractNumId w:val="5"/>
  </w:num>
  <w:num w:numId="56">
    <w:abstractNumId w:val="25"/>
  </w:num>
  <w:num w:numId="57">
    <w:abstractNumId w:val="53"/>
  </w:num>
  <w:num w:numId="58">
    <w:abstractNumId w:val="61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9BF"/>
    <w:rsid w:val="00052B0D"/>
    <w:rsid w:val="00052B86"/>
    <w:rsid w:val="00054BD4"/>
    <w:rsid w:val="00055817"/>
    <w:rsid w:val="00060C32"/>
    <w:rsid w:val="00061272"/>
    <w:rsid w:val="0006141D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FFE"/>
    <w:rsid w:val="000B23CD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4013"/>
    <w:rsid w:val="000C546D"/>
    <w:rsid w:val="000C59DC"/>
    <w:rsid w:val="000C5BB7"/>
    <w:rsid w:val="000C6BF8"/>
    <w:rsid w:val="000C7092"/>
    <w:rsid w:val="000C75A1"/>
    <w:rsid w:val="000D03AC"/>
    <w:rsid w:val="000D13F0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5D5F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59F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482E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0E23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3C51"/>
    <w:rsid w:val="00224A90"/>
    <w:rsid w:val="002259BD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108"/>
    <w:rsid w:val="00241236"/>
    <w:rsid w:val="00241DCD"/>
    <w:rsid w:val="00241FD0"/>
    <w:rsid w:val="002438D5"/>
    <w:rsid w:val="002445BB"/>
    <w:rsid w:val="00244CD0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32B3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87099"/>
    <w:rsid w:val="002908CC"/>
    <w:rsid w:val="002916FE"/>
    <w:rsid w:val="00294B8C"/>
    <w:rsid w:val="00296A50"/>
    <w:rsid w:val="00297857"/>
    <w:rsid w:val="002979AE"/>
    <w:rsid w:val="002A2EC8"/>
    <w:rsid w:val="002A3A34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D0B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270C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1D6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65A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6FF6"/>
    <w:rsid w:val="003A0787"/>
    <w:rsid w:val="003A0ACA"/>
    <w:rsid w:val="003A0E21"/>
    <w:rsid w:val="003A1576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2DCF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25F57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B69"/>
    <w:rsid w:val="00472CF3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1A38"/>
    <w:rsid w:val="0049278B"/>
    <w:rsid w:val="004931CF"/>
    <w:rsid w:val="00493266"/>
    <w:rsid w:val="00493A75"/>
    <w:rsid w:val="0049717B"/>
    <w:rsid w:val="00497FE9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248E"/>
    <w:rsid w:val="004E3112"/>
    <w:rsid w:val="004E437A"/>
    <w:rsid w:val="004F0431"/>
    <w:rsid w:val="004F0897"/>
    <w:rsid w:val="004F299E"/>
    <w:rsid w:val="004F354C"/>
    <w:rsid w:val="004F3A67"/>
    <w:rsid w:val="004F3CEA"/>
    <w:rsid w:val="004F4499"/>
    <w:rsid w:val="004F47D5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70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2DA"/>
    <w:rsid w:val="00561C38"/>
    <w:rsid w:val="005620FE"/>
    <w:rsid w:val="00562DED"/>
    <w:rsid w:val="005646D2"/>
    <w:rsid w:val="00564BE1"/>
    <w:rsid w:val="00565EC6"/>
    <w:rsid w:val="00566E47"/>
    <w:rsid w:val="00566EF0"/>
    <w:rsid w:val="005672BB"/>
    <w:rsid w:val="00572188"/>
    <w:rsid w:val="00572F9C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1F3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0C2D"/>
    <w:rsid w:val="005F128F"/>
    <w:rsid w:val="005F29A5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5C32"/>
    <w:rsid w:val="00616334"/>
    <w:rsid w:val="0061666F"/>
    <w:rsid w:val="00622E08"/>
    <w:rsid w:val="00622E98"/>
    <w:rsid w:val="00624019"/>
    <w:rsid w:val="0062482B"/>
    <w:rsid w:val="0062510A"/>
    <w:rsid w:val="0062548A"/>
    <w:rsid w:val="00627533"/>
    <w:rsid w:val="006276C7"/>
    <w:rsid w:val="00631120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CE9"/>
    <w:rsid w:val="00653E22"/>
    <w:rsid w:val="00654D30"/>
    <w:rsid w:val="00655121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C2D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3A8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6BAA"/>
    <w:rsid w:val="006B71BB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06CE3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53A"/>
    <w:rsid w:val="007317B8"/>
    <w:rsid w:val="00732807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4947"/>
    <w:rsid w:val="007549A5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0F2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254"/>
    <w:rsid w:val="0080292F"/>
    <w:rsid w:val="00802D2E"/>
    <w:rsid w:val="00802F72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895"/>
    <w:rsid w:val="00883AF6"/>
    <w:rsid w:val="00885801"/>
    <w:rsid w:val="0088710D"/>
    <w:rsid w:val="0088714A"/>
    <w:rsid w:val="00887766"/>
    <w:rsid w:val="0089014D"/>
    <w:rsid w:val="00891737"/>
    <w:rsid w:val="0089295C"/>
    <w:rsid w:val="0089377B"/>
    <w:rsid w:val="0089427D"/>
    <w:rsid w:val="0089454E"/>
    <w:rsid w:val="00896422"/>
    <w:rsid w:val="00896C11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C6860"/>
    <w:rsid w:val="008D021B"/>
    <w:rsid w:val="008D0608"/>
    <w:rsid w:val="008D0676"/>
    <w:rsid w:val="008D0E9E"/>
    <w:rsid w:val="008D199F"/>
    <w:rsid w:val="008D44D5"/>
    <w:rsid w:val="008D7274"/>
    <w:rsid w:val="008D737B"/>
    <w:rsid w:val="008E0E5D"/>
    <w:rsid w:val="008E203B"/>
    <w:rsid w:val="008E467A"/>
    <w:rsid w:val="008E4B04"/>
    <w:rsid w:val="008E4B65"/>
    <w:rsid w:val="008E4E5D"/>
    <w:rsid w:val="008E5E8C"/>
    <w:rsid w:val="008E63E2"/>
    <w:rsid w:val="008E64D8"/>
    <w:rsid w:val="008E6CC9"/>
    <w:rsid w:val="008E75C4"/>
    <w:rsid w:val="008E76C6"/>
    <w:rsid w:val="008F1065"/>
    <w:rsid w:val="008F1D3F"/>
    <w:rsid w:val="008F3551"/>
    <w:rsid w:val="009045FE"/>
    <w:rsid w:val="00906C58"/>
    <w:rsid w:val="00910535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796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1EC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2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6979"/>
    <w:rsid w:val="009B7F8D"/>
    <w:rsid w:val="009C0241"/>
    <w:rsid w:val="009C1352"/>
    <w:rsid w:val="009C13D3"/>
    <w:rsid w:val="009C2B58"/>
    <w:rsid w:val="009C2D6A"/>
    <w:rsid w:val="009C2D74"/>
    <w:rsid w:val="009C41D1"/>
    <w:rsid w:val="009C4628"/>
    <w:rsid w:val="009C4721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3B6E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3778"/>
    <w:rsid w:val="00A057ED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6D3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27D9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419"/>
    <w:rsid w:val="00A64A9C"/>
    <w:rsid w:val="00A64C96"/>
    <w:rsid w:val="00A65354"/>
    <w:rsid w:val="00A66668"/>
    <w:rsid w:val="00A706C0"/>
    <w:rsid w:val="00A70F89"/>
    <w:rsid w:val="00A7282C"/>
    <w:rsid w:val="00A72F43"/>
    <w:rsid w:val="00A72FEB"/>
    <w:rsid w:val="00A739FE"/>
    <w:rsid w:val="00A757F7"/>
    <w:rsid w:val="00A77850"/>
    <w:rsid w:val="00A83108"/>
    <w:rsid w:val="00A841B1"/>
    <w:rsid w:val="00A84B35"/>
    <w:rsid w:val="00A9025D"/>
    <w:rsid w:val="00A905D1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B70B5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0A65"/>
    <w:rsid w:val="00B7116F"/>
    <w:rsid w:val="00B720C5"/>
    <w:rsid w:val="00B73D0E"/>
    <w:rsid w:val="00B752AF"/>
    <w:rsid w:val="00B7657E"/>
    <w:rsid w:val="00B7718E"/>
    <w:rsid w:val="00B77534"/>
    <w:rsid w:val="00B80CF7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4497"/>
    <w:rsid w:val="00BA5062"/>
    <w:rsid w:val="00BA568E"/>
    <w:rsid w:val="00BA5ECD"/>
    <w:rsid w:val="00BA68CF"/>
    <w:rsid w:val="00BA6AD4"/>
    <w:rsid w:val="00BA7F75"/>
    <w:rsid w:val="00BB10F3"/>
    <w:rsid w:val="00BB10FA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147"/>
    <w:rsid w:val="00C27456"/>
    <w:rsid w:val="00C30801"/>
    <w:rsid w:val="00C31645"/>
    <w:rsid w:val="00C319AD"/>
    <w:rsid w:val="00C33063"/>
    <w:rsid w:val="00C3391F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6D7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839"/>
    <w:rsid w:val="00CB0891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C7AEC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27EF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18F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67E2E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2F57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DE7"/>
    <w:rsid w:val="00DC1F67"/>
    <w:rsid w:val="00DC2501"/>
    <w:rsid w:val="00DC2AFA"/>
    <w:rsid w:val="00DC2EAA"/>
    <w:rsid w:val="00DC44E1"/>
    <w:rsid w:val="00DC47C0"/>
    <w:rsid w:val="00DC4AED"/>
    <w:rsid w:val="00DC67C3"/>
    <w:rsid w:val="00DC749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436E"/>
    <w:rsid w:val="00DE5409"/>
    <w:rsid w:val="00DE6241"/>
    <w:rsid w:val="00DE6536"/>
    <w:rsid w:val="00DE67FE"/>
    <w:rsid w:val="00DE7B41"/>
    <w:rsid w:val="00DF00EF"/>
    <w:rsid w:val="00DF180E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45C6"/>
    <w:rsid w:val="00E350DD"/>
    <w:rsid w:val="00E35F0A"/>
    <w:rsid w:val="00E36001"/>
    <w:rsid w:val="00E367E9"/>
    <w:rsid w:val="00E37016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018B"/>
    <w:rsid w:val="00E51030"/>
    <w:rsid w:val="00E51A61"/>
    <w:rsid w:val="00E52127"/>
    <w:rsid w:val="00E52154"/>
    <w:rsid w:val="00E52420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3340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0B30"/>
    <w:rsid w:val="00EE1020"/>
    <w:rsid w:val="00EE1AB3"/>
    <w:rsid w:val="00EE37F6"/>
    <w:rsid w:val="00EE428C"/>
    <w:rsid w:val="00EE6261"/>
    <w:rsid w:val="00EE65D7"/>
    <w:rsid w:val="00EE6899"/>
    <w:rsid w:val="00EE7D1B"/>
    <w:rsid w:val="00EF06B0"/>
    <w:rsid w:val="00EF25FB"/>
    <w:rsid w:val="00EF2911"/>
    <w:rsid w:val="00EF3F5E"/>
    <w:rsid w:val="00F03157"/>
    <w:rsid w:val="00F03671"/>
    <w:rsid w:val="00F038F4"/>
    <w:rsid w:val="00F03A71"/>
    <w:rsid w:val="00F054BE"/>
    <w:rsid w:val="00F05CC2"/>
    <w:rsid w:val="00F06EAF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3F87"/>
    <w:rsid w:val="00F2422B"/>
    <w:rsid w:val="00F24BFA"/>
    <w:rsid w:val="00F255DC"/>
    <w:rsid w:val="00F25F51"/>
    <w:rsid w:val="00F261A4"/>
    <w:rsid w:val="00F2659A"/>
    <w:rsid w:val="00F26B28"/>
    <w:rsid w:val="00F274A6"/>
    <w:rsid w:val="00F3059F"/>
    <w:rsid w:val="00F31B38"/>
    <w:rsid w:val="00F329EE"/>
    <w:rsid w:val="00F32AC1"/>
    <w:rsid w:val="00F376F0"/>
    <w:rsid w:val="00F37B0B"/>
    <w:rsid w:val="00F42919"/>
    <w:rsid w:val="00F442DA"/>
    <w:rsid w:val="00F44D9F"/>
    <w:rsid w:val="00F45BA2"/>
    <w:rsid w:val="00F46F87"/>
    <w:rsid w:val="00F47603"/>
    <w:rsid w:val="00F47649"/>
    <w:rsid w:val="00F50D8A"/>
    <w:rsid w:val="00F524A2"/>
    <w:rsid w:val="00F5311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47A4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3F5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EE9"/>
    <w:rsid w:val="00FD4F9E"/>
    <w:rsid w:val="00FD637D"/>
    <w:rsid w:val="00FD778B"/>
    <w:rsid w:val="00FE0954"/>
    <w:rsid w:val="00FE0BDC"/>
    <w:rsid w:val="00FE1A86"/>
    <w:rsid w:val="00FE1F7F"/>
    <w:rsid w:val="00FE4324"/>
    <w:rsid w:val="00FE4827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4D5B-D975-4CA1-ABE1-619C7E54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1733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12439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12</cp:revision>
  <cp:lastPrinted>2018-12-03T11:37:00Z</cp:lastPrinted>
  <dcterms:created xsi:type="dcterms:W3CDTF">2018-11-22T11:40:00Z</dcterms:created>
  <dcterms:modified xsi:type="dcterms:W3CDTF">2018-12-03T11:37:00Z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